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cs="宋体"/>
          <w:sz w:val="24"/>
        </w:rPr>
      </w:pPr>
      <w:bookmarkStart w:id="0" w:name="_Hlt67893495"/>
      <w:bookmarkEnd w:id="0"/>
      <w:bookmarkStart w:id="1" w:name="第二部分"/>
      <w:bookmarkStart w:id="2" w:name="_Toc91899870"/>
      <w:bookmarkStart w:id="3" w:name="_Toc91899871"/>
    </w:p>
    <w:p>
      <w:pPr>
        <w:spacing w:line="360" w:lineRule="auto"/>
        <w:jc w:val="center"/>
        <w:rPr>
          <w:rFonts w:hint="eastAsia" w:ascii="宋体" w:hAnsi="宋体" w:cs="宋体"/>
          <w:b/>
          <w:sz w:val="48"/>
          <w:szCs w:val="48"/>
        </w:rPr>
      </w:pPr>
      <w:r>
        <w:rPr>
          <w:rFonts w:hint="eastAsia" w:ascii="宋体" w:hAnsi="宋体" w:cs="宋体"/>
          <w:b/>
          <w:sz w:val="48"/>
          <w:szCs w:val="48"/>
          <w:highlight w:val="none"/>
        </w:rPr>
        <w:t>目  录</w:t>
      </w:r>
      <w:r>
        <w:rPr>
          <w:rFonts w:hint="eastAsia" w:ascii="宋体" w:hAnsi="宋体" w:cs="宋体"/>
          <w:b/>
          <w:sz w:val="48"/>
          <w:szCs w:val="48"/>
        </w:rPr>
        <w:t xml:space="preserve"> </w:t>
      </w:r>
    </w:p>
    <w:p>
      <w:pPr>
        <w:spacing w:line="360" w:lineRule="auto"/>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 xml:space="preserve">   </w:t>
      </w:r>
    </w:p>
    <w:p>
      <w:pPr>
        <w:spacing w:line="360" w:lineRule="auto"/>
        <w:rPr>
          <w:rFonts w:hint="eastAsia" w:ascii="宋体" w:hAnsi="宋体" w:cs="宋体"/>
          <w:sz w:val="32"/>
          <w:szCs w:val="32"/>
        </w:rPr>
      </w:pPr>
    </w:p>
    <w:p>
      <w:pPr>
        <w:spacing w:line="360" w:lineRule="auto"/>
        <w:rPr>
          <w:rFonts w:hint="eastAsia" w:ascii="宋体" w:hAnsi="宋体" w:cs="宋体"/>
          <w:sz w:val="32"/>
          <w:szCs w:val="32"/>
        </w:rPr>
      </w:pPr>
      <w:r>
        <w:rPr>
          <w:rFonts w:hint="eastAsia" w:ascii="宋体" w:hAnsi="宋体" w:cs="宋体"/>
          <w:sz w:val="32"/>
          <w:szCs w:val="32"/>
        </w:rPr>
        <w:t>第一部分      招标公告………………………………2</w:t>
      </w:r>
    </w:p>
    <w:p>
      <w:pPr>
        <w:spacing w:line="360" w:lineRule="auto"/>
        <w:rPr>
          <w:rFonts w:hint="eastAsia" w:ascii="宋体" w:hAnsi="宋体" w:cs="宋体"/>
          <w:sz w:val="32"/>
          <w:szCs w:val="32"/>
        </w:rPr>
      </w:pPr>
      <w:r>
        <w:rPr>
          <w:rFonts w:hint="eastAsia" w:ascii="宋体" w:hAnsi="宋体" w:cs="宋体"/>
          <w:sz w:val="32"/>
          <w:szCs w:val="32"/>
        </w:rPr>
        <w:t>第二部分      采购需求………………………………7</w:t>
      </w:r>
    </w:p>
    <w:p>
      <w:pPr>
        <w:spacing w:line="360" w:lineRule="auto"/>
        <w:rPr>
          <w:rFonts w:hint="default" w:ascii="宋体" w:hAnsi="宋体" w:eastAsia="宋体" w:cs="宋体"/>
          <w:sz w:val="32"/>
          <w:szCs w:val="32"/>
          <w:lang w:val="en-US" w:eastAsia="zh-CN"/>
        </w:rPr>
      </w:pPr>
      <w:r>
        <w:rPr>
          <w:rFonts w:hint="eastAsia" w:ascii="宋体" w:hAnsi="宋体" w:cs="宋体"/>
          <w:sz w:val="32"/>
          <w:szCs w:val="32"/>
        </w:rPr>
        <w:t>第三部分      投标人须知……………………………</w:t>
      </w:r>
      <w:r>
        <w:rPr>
          <w:rFonts w:hint="eastAsia" w:ascii="宋体" w:hAnsi="宋体" w:cs="宋体"/>
          <w:sz w:val="32"/>
          <w:szCs w:val="32"/>
          <w:lang w:val="en-US" w:eastAsia="zh-CN"/>
        </w:rPr>
        <w:t>23</w:t>
      </w:r>
    </w:p>
    <w:p>
      <w:pPr>
        <w:spacing w:line="360" w:lineRule="auto"/>
        <w:rPr>
          <w:rFonts w:hint="default" w:ascii="宋体" w:hAnsi="宋体" w:eastAsia="宋体" w:cs="宋体"/>
          <w:sz w:val="32"/>
          <w:szCs w:val="32"/>
          <w:lang w:val="en-US" w:eastAsia="zh-CN"/>
        </w:rPr>
      </w:pPr>
      <w:r>
        <w:rPr>
          <w:rFonts w:hint="eastAsia" w:ascii="宋体" w:hAnsi="宋体" w:cs="宋体"/>
          <w:sz w:val="32"/>
          <w:szCs w:val="32"/>
        </w:rPr>
        <w:t>第四部分      评标办法及评分标准…………………</w:t>
      </w:r>
      <w:r>
        <w:rPr>
          <w:rFonts w:hint="eastAsia" w:ascii="宋体" w:hAnsi="宋体" w:cs="宋体"/>
          <w:sz w:val="32"/>
          <w:szCs w:val="32"/>
          <w:lang w:val="en-US" w:eastAsia="zh-CN"/>
        </w:rPr>
        <w:t>42</w:t>
      </w:r>
    </w:p>
    <w:p>
      <w:pPr>
        <w:spacing w:line="360" w:lineRule="auto"/>
        <w:rPr>
          <w:rFonts w:hint="default" w:ascii="宋体" w:hAnsi="宋体" w:eastAsia="宋体" w:cs="宋体"/>
          <w:sz w:val="30"/>
          <w:lang w:val="en-US" w:eastAsia="zh-CN"/>
        </w:rPr>
      </w:pPr>
      <w:r>
        <w:rPr>
          <w:rFonts w:hint="eastAsia" w:ascii="宋体" w:hAnsi="宋体" w:cs="宋体"/>
          <w:sz w:val="32"/>
          <w:szCs w:val="32"/>
        </w:rPr>
        <w:t>第五部分      拟签订的合同文本……………………</w:t>
      </w:r>
      <w:r>
        <w:rPr>
          <w:rFonts w:hint="eastAsia" w:ascii="宋体" w:hAnsi="宋体" w:cs="宋体"/>
          <w:sz w:val="32"/>
          <w:szCs w:val="32"/>
          <w:lang w:val="en-US" w:eastAsia="zh-CN"/>
        </w:rPr>
        <w:t>47</w:t>
      </w:r>
    </w:p>
    <w:p>
      <w:pPr>
        <w:spacing w:line="360" w:lineRule="auto"/>
        <w:rPr>
          <w:rFonts w:hint="default" w:ascii="宋体" w:hAnsi="宋体" w:eastAsia="宋体" w:cs="宋体"/>
          <w:sz w:val="32"/>
          <w:szCs w:val="32"/>
          <w:lang w:val="en-US" w:eastAsia="zh-CN"/>
        </w:rPr>
      </w:pPr>
      <w:r>
        <w:rPr>
          <w:rFonts w:hint="eastAsia" w:ascii="宋体" w:hAnsi="宋体" w:cs="宋体"/>
          <w:sz w:val="32"/>
          <w:szCs w:val="32"/>
        </w:rPr>
        <w:t>第六部分      投标文件格式…………………………</w:t>
      </w:r>
      <w:r>
        <w:rPr>
          <w:rFonts w:hint="eastAsia" w:ascii="宋体" w:hAnsi="宋体" w:cs="宋体"/>
          <w:sz w:val="32"/>
          <w:szCs w:val="32"/>
          <w:lang w:val="en-US" w:eastAsia="zh-CN"/>
        </w:rPr>
        <w:t>51</w:t>
      </w:r>
    </w:p>
    <w:p>
      <w:pPr>
        <w:spacing w:line="360" w:lineRule="auto"/>
        <w:ind w:firstLine="549" w:firstLineChars="229"/>
        <w:rPr>
          <w:rFonts w:hint="eastAsia" w:ascii="宋体" w:hAnsi="宋体" w:cs="宋体"/>
          <w:sz w:val="24"/>
        </w:rPr>
      </w:pPr>
      <w:bookmarkStart w:id="4" w:name="_Hlt91233176"/>
      <w:bookmarkEnd w:id="4"/>
      <w:bookmarkStart w:id="5" w:name="_Toc91899869"/>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ind w:firstLine="549" w:firstLineChars="229"/>
        <w:rPr>
          <w:rFonts w:hint="eastAsia" w:ascii="宋体" w:hAnsi="宋体" w:cs="宋体"/>
          <w:sz w:val="24"/>
        </w:rPr>
      </w:pPr>
    </w:p>
    <w:p>
      <w:pPr>
        <w:spacing w:line="360" w:lineRule="auto"/>
        <w:rPr>
          <w:rFonts w:hint="eastAsia" w:ascii="宋体" w:hAnsi="宋体" w:cs="宋体"/>
          <w:sz w:val="24"/>
        </w:rPr>
      </w:pPr>
    </w:p>
    <w:p>
      <w:pPr>
        <w:adjustRightInd/>
        <w:spacing w:line="360" w:lineRule="auto"/>
        <w:jc w:val="center"/>
        <w:outlineLvl w:val="0"/>
        <w:rPr>
          <w:rFonts w:hint="eastAsia" w:ascii="宋体" w:hAnsi="宋体" w:cs="宋体"/>
          <w:b/>
          <w:sz w:val="36"/>
          <w:szCs w:val="20"/>
        </w:rPr>
      </w:pPr>
      <w:bookmarkStart w:id="6" w:name="第一部分"/>
      <w:r>
        <w:rPr>
          <w:rFonts w:hint="eastAsia" w:ascii="宋体" w:hAnsi="宋体" w:cs="宋体"/>
          <w:b/>
          <w:sz w:val="36"/>
          <w:szCs w:val="36"/>
        </w:rPr>
        <w:br w:type="page"/>
      </w:r>
      <w:bookmarkEnd w:id="5"/>
      <w:bookmarkEnd w:id="6"/>
      <w:bookmarkStart w:id="7" w:name="_Hlt74729822"/>
      <w:bookmarkEnd w:id="7"/>
      <w:bookmarkStart w:id="8" w:name="_Hlt74649545"/>
      <w:bookmarkEnd w:id="8"/>
      <w:bookmarkStart w:id="9" w:name="_Hlt74728647"/>
      <w:bookmarkEnd w:id="9"/>
      <w:bookmarkStart w:id="10" w:name="_Hlt74707423"/>
      <w:bookmarkEnd w:id="10"/>
      <w:r>
        <w:rPr>
          <w:rFonts w:hint="eastAsia" w:ascii="宋体" w:hAnsi="宋体" w:cs="宋体"/>
          <w:b/>
          <w:sz w:val="36"/>
          <w:szCs w:val="20"/>
        </w:rPr>
        <w:t>第一部分  招标公告</w:t>
      </w:r>
    </w:p>
    <w:p>
      <w:pPr>
        <w:spacing w:line="360" w:lineRule="auto"/>
        <w:ind w:firstLine="480" w:firstLineChars="200"/>
        <w:rPr>
          <w:rFonts w:hint="eastAsia" w:ascii="宋体" w:hAnsi="宋体" w:cs="宋体"/>
          <w:sz w:val="24"/>
        </w:rPr>
      </w:pPr>
      <w:r>
        <w:rPr>
          <w:rFonts w:hint="eastAsia" w:ascii="宋体" w:hAnsi="宋体" w:cs="宋体"/>
          <w:color w:val="000000"/>
          <w:sz w:val="24"/>
          <w:shd w:val="clear" w:color="auto" w:fill="FFFFFF"/>
        </w:rPr>
        <w:t>根据《中华人民共和国政府采购法》、《政府采购货物和服务招标管理办法》规定，经湖州市</w:t>
      </w:r>
      <w:r>
        <w:rPr>
          <w:rFonts w:hint="eastAsia" w:ascii="宋体" w:hAnsi="宋体" w:cs="宋体"/>
          <w:color w:val="000000"/>
          <w:sz w:val="24"/>
          <w:shd w:val="clear" w:color="auto" w:fill="FFFFFF"/>
          <w:lang w:eastAsia="zh-CN"/>
        </w:rPr>
        <w:t>吴兴区</w:t>
      </w:r>
      <w:r>
        <w:rPr>
          <w:rFonts w:hint="eastAsia" w:ascii="宋体" w:hAnsi="宋体" w:cs="宋体"/>
          <w:color w:val="000000"/>
          <w:sz w:val="24"/>
          <w:shd w:val="clear" w:color="auto" w:fill="FFFFFF"/>
        </w:rPr>
        <w:t>财政局</w:t>
      </w:r>
      <w:r>
        <w:rPr>
          <w:rFonts w:hint="eastAsia" w:ascii="宋体" w:hAnsi="宋体" w:cs="宋体"/>
          <w:color w:val="000000"/>
          <w:sz w:val="24"/>
          <w:shd w:val="clear" w:color="auto" w:fill="FFFFFF"/>
          <w:lang w:eastAsia="zh-CN"/>
        </w:rPr>
        <w:t>（</w:t>
      </w:r>
      <w:r>
        <w:rPr>
          <w:rFonts w:hint="eastAsia" w:ascii="宋体" w:hAnsi="宋体" w:cs="宋体"/>
          <w:b/>
          <w:bCs/>
          <w:color w:val="000000"/>
          <w:sz w:val="24"/>
          <w:shd w:val="clear" w:color="auto" w:fill="FFFFFF"/>
          <w:lang w:val="en-US" w:eastAsia="zh-CN"/>
        </w:rPr>
        <w:t>采购计划文号</w:t>
      </w:r>
      <w:r>
        <w:rPr>
          <w:rFonts w:hint="eastAsia" w:ascii="宋体" w:hAnsi="宋体" w:cs="宋体"/>
          <w:color w:val="000000"/>
          <w:sz w:val="24"/>
          <w:shd w:val="clear" w:color="auto" w:fill="FFFFFF"/>
          <w:lang w:val="en-US" w:eastAsia="zh-CN"/>
        </w:rPr>
        <w:t>：</w:t>
      </w:r>
      <w:r>
        <w:rPr>
          <w:rFonts w:hint="eastAsia" w:ascii="宋体" w:hAnsi="宋体" w:cs="宋体"/>
          <w:b/>
          <w:color w:val="000000"/>
          <w:sz w:val="24"/>
          <w:u w:val="single"/>
          <w:shd w:val="clear" w:color="auto" w:fill="FFFFFF"/>
          <w:lang w:val="en-US" w:eastAsia="zh-CN"/>
        </w:rPr>
        <w:t>[2024]1576号</w:t>
      </w:r>
      <w:r>
        <w:rPr>
          <w:rFonts w:hint="eastAsia" w:ascii="宋体" w:hAnsi="宋体" w:cs="宋体"/>
          <w:color w:val="000000"/>
          <w:sz w:val="24"/>
          <w:shd w:val="clear" w:color="auto" w:fill="FFFFFF"/>
          <w:lang w:eastAsia="zh-CN"/>
        </w:rPr>
        <w:t>）</w:t>
      </w:r>
      <w:r>
        <w:rPr>
          <w:rFonts w:hint="eastAsia" w:ascii="宋体" w:hAnsi="宋体" w:cs="宋体"/>
          <w:color w:val="000000"/>
          <w:sz w:val="24"/>
          <w:shd w:val="clear" w:color="auto" w:fill="FFFFFF"/>
        </w:rPr>
        <w:t>批准，现就</w:t>
      </w:r>
      <w:r>
        <w:rPr>
          <w:rFonts w:hint="eastAsia" w:ascii="宋体" w:hAnsi="宋体" w:cs="宋体"/>
          <w:b/>
          <w:color w:val="000000"/>
          <w:sz w:val="24"/>
          <w:u w:val="single"/>
          <w:shd w:val="clear" w:color="auto" w:fill="FFFFFF"/>
          <w:lang w:eastAsia="zh-CN"/>
        </w:rPr>
        <w:t>湖州市埭溪镇上强中学</w:t>
      </w:r>
      <w:r>
        <w:rPr>
          <w:rFonts w:hint="eastAsia" w:ascii="宋体" w:hAnsi="宋体" w:cs="宋体"/>
          <w:b/>
          <w:color w:val="000000"/>
          <w:sz w:val="24"/>
          <w:u w:val="single"/>
          <w:shd w:val="clear" w:color="auto" w:fill="FFFFFF"/>
        </w:rPr>
        <w:t>关</w:t>
      </w:r>
      <w:r>
        <w:rPr>
          <w:rFonts w:hint="eastAsia" w:ascii="宋体" w:hAnsi="宋体" w:eastAsia="宋体" w:cs="宋体"/>
          <w:b/>
          <w:color w:val="000000"/>
          <w:sz w:val="24"/>
          <w:u w:val="single"/>
          <w:shd w:val="clear" w:color="auto" w:fill="FFFFFF"/>
          <w:lang w:eastAsia="zh-CN"/>
        </w:rPr>
        <w:t>于音体美提升工程</w:t>
      </w:r>
      <w:r>
        <w:rPr>
          <w:rFonts w:hint="eastAsia" w:ascii="宋体" w:hAnsi="宋体" w:cs="宋体"/>
          <w:color w:val="000000"/>
          <w:sz w:val="24"/>
          <w:shd w:val="clear" w:color="auto" w:fill="FFFFFF"/>
        </w:rPr>
        <w:t>进行公开招标采购，欢迎能提供本国货物、服务的厂商或其合格代理商前来投标：</w:t>
      </w:r>
    </w:p>
    <w:p>
      <w:pPr>
        <w:pStyle w:val="31"/>
        <w:tabs>
          <w:tab w:val="left" w:pos="4500"/>
        </w:tabs>
        <w:spacing w:line="360" w:lineRule="auto"/>
        <w:rPr>
          <w:rFonts w:hAnsi="宋体" w:cs="宋体"/>
          <w:sz w:val="24"/>
          <w:szCs w:val="24"/>
        </w:rPr>
      </w:pPr>
      <w:r>
        <w:rPr>
          <w:rFonts w:hint="eastAsia" w:hAnsi="宋体" w:cs="宋体"/>
          <w:b/>
          <w:sz w:val="24"/>
          <w:szCs w:val="24"/>
        </w:rPr>
        <w:t>一、项目编号：</w:t>
      </w:r>
      <w:r>
        <w:rPr>
          <w:rFonts w:hint="eastAsia" w:hAnsi="宋体" w:cs="宋体"/>
          <w:sz w:val="24"/>
          <w:szCs w:val="24"/>
        </w:rPr>
        <w:t>浙恒采字【</w:t>
      </w:r>
      <w:r>
        <w:rPr>
          <w:rFonts w:hint="eastAsia" w:hAnsi="宋体" w:cs="宋体"/>
          <w:sz w:val="24"/>
          <w:szCs w:val="24"/>
          <w:lang w:eastAsia="zh-CN"/>
        </w:rPr>
        <w:t>2024</w:t>
      </w:r>
      <w:r>
        <w:rPr>
          <w:rFonts w:hint="eastAsia" w:hAnsi="宋体" w:cs="宋体"/>
          <w:sz w:val="24"/>
          <w:szCs w:val="24"/>
        </w:rPr>
        <w:t>】-01</w:t>
      </w:r>
      <w:r>
        <w:rPr>
          <w:rFonts w:hint="eastAsia" w:hAnsi="宋体" w:cs="宋体"/>
          <w:sz w:val="24"/>
          <w:szCs w:val="24"/>
          <w:lang w:val="en-US" w:eastAsia="zh-CN"/>
        </w:rPr>
        <w:t>9</w:t>
      </w:r>
      <w:r>
        <w:rPr>
          <w:rFonts w:hint="eastAsia" w:hAnsi="宋体" w:cs="宋体"/>
          <w:sz w:val="24"/>
          <w:szCs w:val="24"/>
        </w:rPr>
        <w:t xml:space="preserve">  </w:t>
      </w:r>
    </w:p>
    <w:p>
      <w:pPr>
        <w:pStyle w:val="31"/>
        <w:spacing w:line="360" w:lineRule="auto"/>
        <w:rPr>
          <w:rFonts w:hint="eastAsia" w:hAnsi="宋体" w:eastAsia="宋体" w:cs="宋体"/>
          <w:sz w:val="24"/>
          <w:szCs w:val="24"/>
          <w:lang w:eastAsia="zh-CN"/>
        </w:rPr>
      </w:pPr>
      <w:r>
        <w:rPr>
          <w:rFonts w:hint="eastAsia" w:hAnsi="宋体" w:cs="宋体"/>
          <w:b/>
          <w:sz w:val="24"/>
          <w:szCs w:val="24"/>
        </w:rPr>
        <w:t>二、项目名称：</w:t>
      </w:r>
      <w:r>
        <w:rPr>
          <w:rFonts w:hint="eastAsia" w:hAnsi="宋体" w:cs="宋体"/>
          <w:sz w:val="24"/>
          <w:szCs w:val="24"/>
          <w:lang w:eastAsia="zh-CN"/>
        </w:rPr>
        <w:t>湖州市埭溪镇上强中学音体美提升工程</w:t>
      </w:r>
    </w:p>
    <w:p>
      <w:pPr>
        <w:spacing w:line="360" w:lineRule="auto"/>
        <w:rPr>
          <w:rFonts w:hint="eastAsia" w:ascii="宋体" w:hAnsi="宋体" w:cs="宋体"/>
          <w:sz w:val="24"/>
          <w:lang w:val="zh-CN"/>
        </w:rPr>
      </w:pPr>
      <w:r>
        <w:rPr>
          <w:rFonts w:hint="eastAsia" w:hAnsi="宋体" w:cs="宋体"/>
          <w:sz w:val="24"/>
        </w:rPr>
        <w:t>三、</w:t>
      </w:r>
      <w:r>
        <w:rPr>
          <w:rFonts w:hint="eastAsia" w:ascii="宋体" w:hAnsi="宋体" w:cs="宋体"/>
          <w:b/>
          <w:sz w:val="24"/>
          <w:lang w:val="zh-CN"/>
        </w:rPr>
        <w:t>项目预算金额：</w:t>
      </w:r>
      <w:r>
        <w:rPr>
          <w:rFonts w:hint="eastAsia" w:ascii="宋体" w:hAnsi="宋体" w:cs="宋体"/>
          <w:sz w:val="24"/>
          <w:lang w:val="zh-CN"/>
        </w:rPr>
        <w:t>人民币</w:t>
      </w:r>
      <w:r>
        <w:rPr>
          <w:rFonts w:hint="eastAsia" w:ascii="宋体" w:hAnsi="宋体" w:cs="宋体"/>
          <w:b/>
          <w:bCs/>
          <w:color w:val="0000FF"/>
          <w:sz w:val="24"/>
          <w:lang w:val="en-US" w:eastAsia="zh-CN"/>
        </w:rPr>
        <w:t>122</w:t>
      </w:r>
      <w:r>
        <w:rPr>
          <w:rFonts w:hint="eastAsia" w:ascii="宋体" w:hAnsi="宋体" w:cs="宋体"/>
          <w:sz w:val="24"/>
        </w:rPr>
        <w:t>万元</w:t>
      </w:r>
      <w:r>
        <w:rPr>
          <w:rFonts w:hint="eastAsia" w:ascii="宋体" w:hAnsi="宋体" w:cs="宋体"/>
          <w:sz w:val="24"/>
          <w:lang w:val="zh-CN"/>
        </w:rPr>
        <w:t>。</w:t>
      </w:r>
      <w:r>
        <w:rPr>
          <w:rFonts w:hint="eastAsia" w:ascii="宋体" w:hAnsi="宋体" w:cs="宋体"/>
          <w:sz w:val="24"/>
        </w:rPr>
        <w:t>最高限价为预算金额</w:t>
      </w:r>
      <w:r>
        <w:rPr>
          <w:rFonts w:hint="eastAsia" w:ascii="宋体" w:hAnsi="宋体" w:cs="宋体"/>
          <w:sz w:val="24"/>
          <w:lang w:val="zh-CN"/>
        </w:rPr>
        <w:t>。</w:t>
      </w:r>
    </w:p>
    <w:p>
      <w:pPr>
        <w:pStyle w:val="31"/>
        <w:spacing w:line="360" w:lineRule="auto"/>
        <w:rPr>
          <w:rFonts w:hint="eastAsia" w:hAnsi="宋体" w:cs="宋体"/>
          <w:sz w:val="24"/>
          <w:szCs w:val="24"/>
        </w:rPr>
      </w:pPr>
      <w:r>
        <w:rPr>
          <w:rFonts w:hint="eastAsia" w:hAnsi="宋体" w:cs="宋体"/>
          <w:b/>
          <w:snapToGrid/>
          <w:sz w:val="24"/>
          <w:szCs w:val="24"/>
          <w:lang w:val="zh-CN"/>
        </w:rPr>
        <w:t>四、采购方式：</w:t>
      </w:r>
      <w:r>
        <w:rPr>
          <w:rFonts w:hint="eastAsia"/>
          <w:sz w:val="24"/>
          <w:szCs w:val="24"/>
        </w:rPr>
        <w:t>公开招标</w:t>
      </w:r>
    </w:p>
    <w:p>
      <w:pPr>
        <w:pStyle w:val="31"/>
        <w:spacing w:line="360" w:lineRule="auto"/>
        <w:rPr>
          <w:rFonts w:hint="eastAsia" w:hAnsi="宋体" w:cs="宋体"/>
          <w:sz w:val="24"/>
          <w:szCs w:val="24"/>
        </w:rPr>
      </w:pPr>
      <w:r>
        <w:rPr>
          <w:rFonts w:hint="eastAsia" w:hAnsi="宋体" w:cs="宋体"/>
          <w:b/>
          <w:sz w:val="24"/>
          <w:szCs w:val="24"/>
        </w:rPr>
        <w:t>五、</w:t>
      </w:r>
      <w:r>
        <w:rPr>
          <w:rFonts w:hint="eastAsia" w:hAnsi="宋体" w:cs="宋体"/>
          <w:b/>
          <w:bCs/>
          <w:kern w:val="0"/>
          <w:sz w:val="24"/>
          <w:szCs w:val="24"/>
        </w:rPr>
        <w:t>采购组织类型：</w:t>
      </w:r>
      <w:r>
        <w:rPr>
          <w:rFonts w:hint="eastAsia" w:hAnsi="宋体" w:cs="宋体"/>
          <w:sz w:val="24"/>
          <w:szCs w:val="24"/>
        </w:rPr>
        <w:t>分散采购委托代理</w:t>
      </w:r>
    </w:p>
    <w:p>
      <w:pPr>
        <w:spacing w:line="360" w:lineRule="auto"/>
        <w:rPr>
          <w:rFonts w:hint="eastAsia" w:ascii="宋体" w:hAnsi="宋体" w:cs="宋体"/>
          <w:b/>
          <w:bCs/>
          <w:snapToGrid w:val="0"/>
          <w:kern w:val="0"/>
          <w:sz w:val="24"/>
        </w:rPr>
      </w:pPr>
      <w:r>
        <w:rPr>
          <w:rFonts w:hint="eastAsia" w:ascii="宋体" w:hAnsi="宋体" w:cs="宋体"/>
          <w:b/>
          <w:sz w:val="24"/>
        </w:rPr>
        <w:t>六、</w:t>
      </w:r>
      <w:r>
        <w:rPr>
          <w:rFonts w:hint="eastAsia" w:ascii="宋体" w:hAnsi="宋体" w:cs="宋体"/>
          <w:b/>
          <w:bCs/>
          <w:snapToGrid w:val="0"/>
          <w:kern w:val="0"/>
          <w:sz w:val="24"/>
        </w:rPr>
        <w:t>招标项目概况（内容、用途、数量、简要技术要求等）</w:t>
      </w:r>
    </w:p>
    <w:tbl>
      <w:tblPr>
        <w:tblStyle w:val="60"/>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744"/>
        <w:gridCol w:w="912"/>
        <w:gridCol w:w="1300"/>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0" w:type="dxa"/>
            <w:noWrap w:val="0"/>
            <w:vAlign w:val="center"/>
          </w:tcPr>
          <w:p>
            <w:pPr>
              <w:jc w:val="center"/>
              <w:rPr>
                <w:rFonts w:hint="eastAsia"/>
                <w:b/>
                <w:sz w:val="24"/>
              </w:rPr>
            </w:pPr>
            <w:r>
              <w:rPr>
                <w:rFonts w:hint="eastAsia"/>
                <w:b/>
                <w:sz w:val="24"/>
              </w:rPr>
              <w:t>序号</w:t>
            </w:r>
          </w:p>
        </w:tc>
        <w:tc>
          <w:tcPr>
            <w:tcW w:w="3744" w:type="dxa"/>
            <w:noWrap w:val="0"/>
            <w:vAlign w:val="center"/>
          </w:tcPr>
          <w:p>
            <w:pPr>
              <w:widowControl/>
              <w:jc w:val="center"/>
              <w:rPr>
                <w:b/>
                <w:sz w:val="24"/>
              </w:rPr>
            </w:pPr>
            <w:r>
              <w:rPr>
                <w:rFonts w:hint="eastAsia"/>
                <w:b/>
                <w:sz w:val="24"/>
              </w:rPr>
              <w:t>采购内容</w:t>
            </w:r>
          </w:p>
        </w:tc>
        <w:tc>
          <w:tcPr>
            <w:tcW w:w="912" w:type="dxa"/>
            <w:noWrap w:val="0"/>
            <w:vAlign w:val="center"/>
          </w:tcPr>
          <w:p>
            <w:pPr>
              <w:widowControl/>
              <w:jc w:val="center"/>
              <w:rPr>
                <w:b/>
                <w:sz w:val="24"/>
              </w:rPr>
            </w:pPr>
            <w:r>
              <w:rPr>
                <w:rFonts w:hint="eastAsia"/>
                <w:b/>
                <w:sz w:val="24"/>
              </w:rPr>
              <w:t>数量</w:t>
            </w:r>
          </w:p>
        </w:tc>
        <w:tc>
          <w:tcPr>
            <w:tcW w:w="1300" w:type="dxa"/>
            <w:noWrap w:val="0"/>
            <w:vAlign w:val="center"/>
          </w:tcPr>
          <w:p>
            <w:pPr>
              <w:widowControl/>
              <w:jc w:val="center"/>
              <w:rPr>
                <w:rFonts w:hint="eastAsia"/>
                <w:b/>
                <w:sz w:val="24"/>
              </w:rPr>
            </w:pPr>
            <w:r>
              <w:rPr>
                <w:rFonts w:hint="eastAsia"/>
                <w:b/>
                <w:sz w:val="24"/>
              </w:rPr>
              <w:t>预算</w:t>
            </w:r>
          </w:p>
        </w:tc>
        <w:tc>
          <w:tcPr>
            <w:tcW w:w="2202" w:type="dxa"/>
            <w:noWrap w:val="0"/>
            <w:vAlign w:val="center"/>
          </w:tcPr>
          <w:p>
            <w:pPr>
              <w:widowControl/>
              <w:jc w:val="center"/>
              <w:rPr>
                <w:rFonts w:hint="eastAsia"/>
                <w:b/>
                <w:sz w:val="24"/>
              </w:rPr>
            </w:pPr>
            <w:r>
              <w:rPr>
                <w:rFonts w:hint="eastAsia"/>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10" w:type="dxa"/>
            <w:noWrap w:val="0"/>
            <w:vAlign w:val="center"/>
          </w:tcPr>
          <w:p>
            <w:pPr>
              <w:jc w:val="center"/>
              <w:rPr>
                <w:rFonts w:hint="eastAsia"/>
                <w:sz w:val="24"/>
              </w:rPr>
            </w:pPr>
            <w:r>
              <w:rPr>
                <w:rFonts w:hint="eastAsia"/>
                <w:sz w:val="24"/>
              </w:rPr>
              <w:t>1</w:t>
            </w:r>
          </w:p>
        </w:tc>
        <w:tc>
          <w:tcPr>
            <w:tcW w:w="3744" w:type="dxa"/>
            <w:noWrap w:val="0"/>
            <w:vAlign w:val="center"/>
          </w:tcPr>
          <w:p>
            <w:pPr>
              <w:jc w:val="center"/>
              <w:rPr>
                <w:rFonts w:hint="eastAsia" w:eastAsia="宋体"/>
                <w:sz w:val="24"/>
                <w:lang w:eastAsia="zh-CN"/>
              </w:rPr>
            </w:pPr>
            <w:r>
              <w:rPr>
                <w:rFonts w:hint="eastAsia"/>
                <w:sz w:val="24"/>
                <w:lang w:eastAsia="zh-CN"/>
              </w:rPr>
              <w:t>湖州市埭溪镇上强中学音体美提升工程</w:t>
            </w:r>
          </w:p>
        </w:tc>
        <w:tc>
          <w:tcPr>
            <w:tcW w:w="912" w:type="dxa"/>
            <w:noWrap w:val="0"/>
            <w:vAlign w:val="center"/>
          </w:tcPr>
          <w:p>
            <w:pPr>
              <w:jc w:val="center"/>
              <w:rPr>
                <w:rFonts w:hint="eastAsia"/>
                <w:sz w:val="24"/>
              </w:rPr>
            </w:pPr>
            <w:r>
              <w:rPr>
                <w:rFonts w:hint="eastAsia"/>
                <w:sz w:val="24"/>
              </w:rPr>
              <w:t>1项</w:t>
            </w:r>
          </w:p>
        </w:tc>
        <w:tc>
          <w:tcPr>
            <w:tcW w:w="1300" w:type="dxa"/>
            <w:noWrap w:val="0"/>
            <w:vAlign w:val="center"/>
          </w:tcPr>
          <w:p>
            <w:pPr>
              <w:jc w:val="center"/>
              <w:rPr>
                <w:rFonts w:hint="eastAsia" w:ascii="Times New Roman" w:hAnsi="Times New Roman" w:eastAsia="宋体" w:cs="Times New Roman"/>
                <w:sz w:val="24"/>
                <w:lang w:eastAsia="zh-CN"/>
              </w:rPr>
            </w:pPr>
            <w:r>
              <w:rPr>
                <w:rFonts w:hint="eastAsia" w:ascii="Times New Roman" w:hAnsi="Times New Roman" w:eastAsia="宋体" w:cs="Times New Roman"/>
                <w:b/>
                <w:bCs/>
                <w:sz w:val="24"/>
                <w:u w:val="single"/>
                <w:lang w:val="en-US" w:eastAsia="zh-CN"/>
              </w:rPr>
              <w:t>122万元</w:t>
            </w:r>
          </w:p>
        </w:tc>
        <w:tc>
          <w:tcPr>
            <w:tcW w:w="2202" w:type="dxa"/>
            <w:noWrap w:val="0"/>
            <w:vAlign w:val="center"/>
          </w:tcPr>
          <w:p>
            <w:pPr>
              <w:jc w:val="center"/>
              <w:rPr>
                <w:rFonts w:hint="eastAsia" w:ascii="Times New Roman" w:hAnsi="Times New Roman" w:eastAsia="宋体" w:cs="Times New Roman"/>
                <w:sz w:val="24"/>
              </w:rPr>
            </w:pPr>
            <w:r>
              <w:rPr>
                <w:rFonts w:hint="eastAsia" w:ascii="Times New Roman" w:hAnsi="Times New Roman" w:eastAsia="宋体" w:cs="Times New Roman"/>
                <w:sz w:val="24"/>
              </w:rPr>
              <w:t>具体要求详见第二章采购需求</w:t>
            </w:r>
          </w:p>
        </w:tc>
      </w:tr>
    </w:tbl>
    <w:p>
      <w:pPr>
        <w:spacing w:line="360" w:lineRule="auto"/>
        <w:rPr>
          <w:rFonts w:hint="eastAsia" w:ascii="宋体" w:hAnsi="宋体" w:cs="宋体"/>
          <w:b/>
          <w:sz w:val="24"/>
        </w:rPr>
      </w:pPr>
      <w:r>
        <w:rPr>
          <w:rFonts w:hint="eastAsia" w:ascii="宋体" w:hAnsi="宋体" w:cs="宋体"/>
          <w:b/>
          <w:sz w:val="24"/>
        </w:rPr>
        <w:t>七、供应商资格要求：</w:t>
      </w:r>
    </w:p>
    <w:p>
      <w:pPr>
        <w:widowControl/>
        <w:spacing w:line="360" w:lineRule="auto"/>
        <w:ind w:firstLine="480" w:firstLineChars="200"/>
        <w:rPr>
          <w:rFonts w:hint="eastAsia" w:ascii="宋体" w:hAnsi="宋体" w:cs="宋体"/>
          <w:color w:val="000000"/>
          <w:sz w:val="24"/>
          <w:lang w:val="zh-CN"/>
        </w:rPr>
      </w:pPr>
      <w:r>
        <w:rPr>
          <w:rFonts w:hint="eastAsia" w:ascii="宋体" w:hAnsi="宋体" w:cs="宋体"/>
          <w:color w:val="000000"/>
          <w:sz w:val="24"/>
        </w:rPr>
        <w:t>1、</w:t>
      </w:r>
      <w:r>
        <w:rPr>
          <w:rFonts w:hint="eastAsia" w:ascii="宋体" w:hAnsi="宋体" w:cs="宋体"/>
          <w:color w:val="000000"/>
          <w:sz w:val="24"/>
          <w:lang w:val="zh-CN"/>
        </w:rPr>
        <w:t>符合政府采购法第二十二条规定的投标人资格条件：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w:t>
      </w:r>
    </w:p>
    <w:p>
      <w:pPr>
        <w:spacing w:line="360" w:lineRule="auto"/>
        <w:ind w:firstLine="480" w:firstLineChars="200"/>
        <w:rPr>
          <w:rFonts w:hint="eastAsia" w:ascii="宋体" w:hAnsi="宋体" w:cs="宋体"/>
          <w:sz w:val="24"/>
          <w:lang w:val="zh-CN"/>
        </w:rPr>
      </w:pPr>
      <w:r>
        <w:rPr>
          <w:rFonts w:hint="eastAsia" w:ascii="宋体" w:hAnsi="宋体" w:cs="宋体"/>
          <w:color w:val="000000"/>
          <w:sz w:val="24"/>
          <w:lang w:val="zh-CN"/>
        </w:rPr>
        <w:t>2、</w:t>
      </w:r>
      <w:r>
        <w:rPr>
          <w:rFonts w:hint="eastAsia" w:ascii="宋体" w:hAnsi="宋体" w:cs="宋体"/>
          <w:sz w:val="24"/>
          <w:lang w:val="zh-CN"/>
        </w:rPr>
        <w:t>浙财采监【2013】24号《关于规范政府采购供应商资格设定及资格审查的通知》第六条规定，且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hint="eastAsia" w:ascii="宋体" w:hAnsi="宋体" w:cs="宋体"/>
          <w:b/>
          <w:sz w:val="24"/>
        </w:rPr>
      </w:pPr>
      <w:r>
        <w:rPr>
          <w:rFonts w:hint="eastAsia" w:ascii="宋体" w:hAnsi="宋体" w:cs="宋体"/>
          <w:sz w:val="24"/>
        </w:rPr>
        <w:t>3、特定资格条件：本项目不接受联合体投标。</w:t>
      </w:r>
    </w:p>
    <w:p>
      <w:pPr>
        <w:spacing w:line="360" w:lineRule="auto"/>
        <w:rPr>
          <w:rFonts w:hint="eastAsia" w:ascii="宋体" w:hAnsi="宋体" w:cs="宋体"/>
          <w:b/>
          <w:snapToGrid w:val="0"/>
          <w:kern w:val="28"/>
          <w:sz w:val="24"/>
        </w:rPr>
      </w:pPr>
      <w:r>
        <w:rPr>
          <w:rFonts w:hint="eastAsia" w:ascii="宋体" w:hAnsi="宋体" w:cs="宋体"/>
          <w:b/>
          <w:snapToGrid w:val="0"/>
          <w:kern w:val="28"/>
          <w:sz w:val="24"/>
        </w:rPr>
        <w:t>八、采购文件的获取</w:t>
      </w:r>
    </w:p>
    <w:p>
      <w:pPr>
        <w:pStyle w:val="55"/>
        <w:spacing w:before="0" w:beforeAutospacing="0" w:after="0" w:afterAutospacing="0" w:line="360" w:lineRule="auto"/>
        <w:ind w:firstLine="480" w:firstLineChars="200"/>
        <w:rPr>
          <w:rFonts w:hint="eastAsia" w:cs="宋体"/>
        </w:rPr>
      </w:pPr>
      <w:r>
        <w:rPr>
          <w:rFonts w:hint="eastAsia" w:cs="宋体"/>
        </w:rPr>
        <w:t>1、本项目采购文件实行“政府采购云平台”在线免费获取，不提供采购文件纸质版，不接受现场或其他形式报名。供应商获取采购文件前应先完成“政府采购云平台”的账号注册；</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2、时间期限：</w:t>
      </w:r>
      <w:r>
        <w:rPr>
          <w:rFonts w:hint="eastAsia" w:ascii="宋体" w:hAnsi="宋体" w:cs="宋体"/>
          <w:color w:val="0000FF"/>
          <w:kern w:val="0"/>
          <w:sz w:val="24"/>
        </w:rPr>
        <w:t>公告发布时间至投标截止时间，每天上午00:00至12:00，下午12:00至23:59（北京时间，线上获取法定节假日均可，线下获取文件法定节假日除外）</w:t>
      </w:r>
    </w:p>
    <w:p>
      <w:pPr>
        <w:pStyle w:val="55"/>
        <w:spacing w:before="0" w:beforeAutospacing="0" w:after="0" w:afterAutospacing="0" w:line="360" w:lineRule="auto"/>
        <w:ind w:firstLine="480" w:firstLineChars="200"/>
        <w:rPr>
          <w:rFonts w:hint="eastAsia" w:cs="宋体"/>
        </w:rPr>
      </w:pPr>
      <w:r>
        <w:rPr>
          <w:rFonts w:hint="eastAsia" w:cs="宋体"/>
        </w:rPr>
        <w:t>3、地点：</w:t>
      </w:r>
    </w:p>
    <w:p>
      <w:pPr>
        <w:pStyle w:val="55"/>
        <w:spacing w:before="0" w:beforeAutospacing="0" w:after="0" w:afterAutospacing="0" w:line="360" w:lineRule="auto"/>
        <w:ind w:firstLine="480" w:firstLineChars="200"/>
        <w:rPr>
          <w:rFonts w:hint="eastAsia" w:cs="宋体"/>
        </w:rPr>
      </w:pPr>
      <w:r>
        <w:rPr>
          <w:rFonts w:hint="eastAsia" w:cs="宋体"/>
        </w:rPr>
        <w:t>（1）政采云平台（http://zfcg.czt.zj.gov.cn）；</w:t>
      </w:r>
    </w:p>
    <w:p>
      <w:pPr>
        <w:pStyle w:val="55"/>
        <w:spacing w:before="0" w:beforeAutospacing="0" w:after="0" w:afterAutospacing="0" w:line="360" w:lineRule="auto"/>
        <w:ind w:firstLine="480" w:firstLineChars="200"/>
        <w:rPr>
          <w:rFonts w:hint="eastAsia" w:cs="宋体"/>
        </w:rPr>
      </w:pPr>
      <w:r>
        <w:rPr>
          <w:rFonts w:hint="eastAsia" w:cs="宋体"/>
        </w:rPr>
        <w:t>（2）供应商网上报名操作指南：“浙江政府采购网</w:t>
      </w:r>
      <w:r>
        <w:rPr>
          <w:rFonts w:hint="eastAsia" w:cs="宋体"/>
          <w:lang w:eastAsia="zh-CN"/>
        </w:rPr>
        <w:t>（https://zfcg.czt.zj.gov.cn/）</w:t>
      </w:r>
      <w:r>
        <w:rPr>
          <w:rFonts w:hint="eastAsia" w:cs="宋体"/>
        </w:rPr>
        <w:t>-办事指南”。</w:t>
      </w:r>
    </w:p>
    <w:p>
      <w:pPr>
        <w:pStyle w:val="55"/>
        <w:spacing w:before="0" w:beforeAutospacing="0" w:after="0" w:afterAutospacing="0" w:line="360" w:lineRule="auto"/>
        <w:ind w:firstLine="482" w:firstLineChars="200"/>
        <w:rPr>
          <w:rFonts w:hint="eastAsia" w:cs="宋体"/>
          <w:b/>
          <w:bCs/>
        </w:rPr>
      </w:pPr>
      <w:r>
        <w:rPr>
          <w:rFonts w:hint="eastAsia" w:cs="宋体"/>
          <w:b/>
          <w:bCs/>
        </w:rPr>
        <w:t>4、方式：潜在供应商登陆政采云平台，在线申请获取采购文件（进入“项目采购”应用，在获取采购文件菜单中选择项目，申请获取采购文件，本项目采购文件不收取工本费；仅需浏览采购文件的供应商可点击“游客，浏览采购文件”直接下载采购文件浏览）；</w:t>
      </w:r>
    </w:p>
    <w:p>
      <w:pPr>
        <w:pStyle w:val="55"/>
        <w:spacing w:before="0" w:beforeAutospacing="0" w:after="0" w:afterAutospacing="0" w:line="360" w:lineRule="auto"/>
        <w:ind w:firstLine="482" w:firstLineChars="200"/>
        <w:rPr>
          <w:rFonts w:hint="eastAsia" w:cs="宋体"/>
          <w:b/>
          <w:bCs/>
        </w:rPr>
      </w:pPr>
      <w:r>
        <w:rPr>
          <w:rFonts w:hint="eastAsia" w:cs="宋体"/>
          <w:b/>
          <w:bCs/>
        </w:rPr>
        <w:t>5、供应商获取采购文件时须提交的文件资料：无；</w:t>
      </w:r>
    </w:p>
    <w:p>
      <w:pPr>
        <w:pStyle w:val="55"/>
        <w:spacing w:before="0" w:beforeAutospacing="0" w:after="0" w:afterAutospacing="0" w:line="360" w:lineRule="auto"/>
        <w:ind w:firstLine="482" w:firstLineChars="200"/>
        <w:rPr>
          <w:rFonts w:hint="eastAsia" w:cs="宋体"/>
          <w:b/>
          <w:bCs/>
          <w:color w:val="0000FF"/>
        </w:rPr>
      </w:pPr>
      <w:r>
        <w:rPr>
          <w:rFonts w:hint="eastAsia" w:cs="宋体"/>
          <w:b/>
          <w:bCs/>
          <w:color w:val="0000FF"/>
        </w:rPr>
        <w:t>6、提示：招标公告附件内的采购文件（或采购需求）仅供阅览使用，供应商只有在“政府采购云平台”完成获取采购文件申请并下载了采购文件后才视作依法获取采购文件。</w:t>
      </w:r>
    </w:p>
    <w:p>
      <w:pPr>
        <w:pStyle w:val="55"/>
        <w:spacing w:before="0" w:beforeAutospacing="0" w:after="0" w:afterAutospacing="0" w:line="360" w:lineRule="auto"/>
        <w:ind w:firstLine="482" w:firstLineChars="200"/>
        <w:rPr>
          <w:rFonts w:hint="eastAsia" w:cs="宋体"/>
          <w:b/>
          <w:bCs/>
          <w:color w:val="0000FF"/>
        </w:rPr>
      </w:pPr>
      <w:r>
        <w:rPr>
          <w:rFonts w:hint="eastAsia" w:cs="宋体"/>
          <w:b/>
          <w:bCs/>
          <w:color w:val="0000FF"/>
        </w:rPr>
        <w:t>注：1）请供应商按上述要求获取采购文件，如未在“政采云”系统内完成相关流程，引起的投标无效责任自负。2）未按上述方式获取招标文件的投标人对该文件提出的质疑，采购人或采购代理机构将不予处理。</w:t>
      </w:r>
    </w:p>
    <w:p>
      <w:pPr>
        <w:pStyle w:val="16"/>
        <w:spacing w:line="360" w:lineRule="auto"/>
        <w:ind w:firstLine="0"/>
        <w:rPr>
          <w:rFonts w:hint="eastAsia" w:hAnsi="宋体" w:cs="宋体"/>
          <w:color w:val="auto"/>
          <w:sz w:val="24"/>
          <w:szCs w:val="24"/>
        </w:rPr>
      </w:pPr>
      <w:r>
        <w:rPr>
          <w:rFonts w:hint="eastAsia" w:hAnsi="宋体" w:cs="宋体"/>
          <w:b/>
          <w:color w:val="auto"/>
          <w:sz w:val="24"/>
          <w:szCs w:val="24"/>
        </w:rPr>
        <w:t>九、投标截止时间：</w:t>
      </w:r>
      <w:r>
        <w:rPr>
          <w:rFonts w:hint="eastAsia" w:hAnsi="宋体" w:cs="宋体"/>
          <w:color w:val="0000FF"/>
          <w:sz w:val="24"/>
          <w:szCs w:val="24"/>
          <w:lang w:eastAsia="zh-CN"/>
        </w:rPr>
        <w:t>2024</w:t>
      </w:r>
      <w:r>
        <w:rPr>
          <w:rFonts w:hint="eastAsia" w:hAnsi="宋体" w:cs="宋体"/>
          <w:color w:val="0000FF"/>
          <w:sz w:val="24"/>
          <w:szCs w:val="24"/>
        </w:rPr>
        <w:t>年</w:t>
      </w:r>
      <w:r>
        <w:rPr>
          <w:rFonts w:hint="eastAsia" w:hAnsi="宋体" w:cs="宋体"/>
          <w:color w:val="0000FF"/>
          <w:sz w:val="24"/>
          <w:szCs w:val="24"/>
          <w:lang w:val="en-US" w:eastAsia="zh-CN"/>
        </w:rPr>
        <w:t>5</w:t>
      </w:r>
      <w:r>
        <w:rPr>
          <w:rFonts w:hint="eastAsia" w:hAnsi="宋体" w:cs="宋体"/>
          <w:color w:val="0000FF"/>
          <w:sz w:val="24"/>
          <w:szCs w:val="24"/>
        </w:rPr>
        <w:t>月</w:t>
      </w:r>
      <w:r>
        <w:rPr>
          <w:rFonts w:hint="eastAsia" w:hAnsi="宋体" w:cs="宋体"/>
          <w:color w:val="0000FF"/>
          <w:sz w:val="24"/>
          <w:szCs w:val="24"/>
          <w:lang w:val="en-US" w:eastAsia="zh-CN"/>
        </w:rPr>
        <w:t>23</w:t>
      </w:r>
      <w:r>
        <w:rPr>
          <w:rFonts w:hint="eastAsia" w:hAnsi="宋体" w:cs="宋体"/>
          <w:color w:val="0000FF"/>
          <w:sz w:val="24"/>
          <w:szCs w:val="24"/>
        </w:rPr>
        <w:t>日</w:t>
      </w:r>
      <w:r>
        <w:rPr>
          <w:rFonts w:hint="eastAsia" w:hAnsi="宋体" w:cs="宋体"/>
          <w:color w:val="0000FF"/>
          <w:sz w:val="24"/>
          <w:szCs w:val="24"/>
          <w:lang w:val="en-US" w:eastAsia="zh-CN"/>
        </w:rPr>
        <w:t>14</w:t>
      </w:r>
      <w:r>
        <w:rPr>
          <w:rFonts w:hint="eastAsia" w:hAnsi="宋体" w:cs="宋体"/>
          <w:color w:val="0000FF"/>
          <w:sz w:val="24"/>
          <w:szCs w:val="24"/>
        </w:rPr>
        <w:t>时00分</w:t>
      </w:r>
      <w:r>
        <w:rPr>
          <w:rFonts w:hint="eastAsia" w:hAnsi="宋体" w:cs="宋体"/>
          <w:color w:val="auto"/>
          <w:sz w:val="24"/>
          <w:szCs w:val="24"/>
        </w:rPr>
        <w:t>。</w:t>
      </w:r>
    </w:p>
    <w:p>
      <w:pPr>
        <w:pStyle w:val="16"/>
        <w:spacing w:line="360" w:lineRule="auto"/>
        <w:ind w:firstLine="0"/>
        <w:rPr>
          <w:rFonts w:hint="eastAsia" w:hAnsi="宋体" w:cs="宋体"/>
          <w:color w:val="auto"/>
          <w:sz w:val="24"/>
          <w:szCs w:val="24"/>
        </w:rPr>
      </w:pPr>
      <w:r>
        <w:rPr>
          <w:rFonts w:hint="eastAsia" w:hAnsi="宋体" w:cs="宋体"/>
          <w:b/>
          <w:color w:val="auto"/>
          <w:sz w:val="24"/>
          <w:szCs w:val="24"/>
        </w:rPr>
        <w:t>十、投标地点：</w:t>
      </w:r>
      <w:r>
        <w:rPr>
          <w:rFonts w:hint="eastAsia" w:hAnsi="宋体" w:cs="宋体"/>
          <w:sz w:val="24"/>
          <w:szCs w:val="24"/>
        </w:rPr>
        <w:t>通过“政府采购云平台（www.zcygov.cn）”实行在线投标响应</w:t>
      </w:r>
      <w:r>
        <w:rPr>
          <w:rFonts w:hint="eastAsia" w:hAnsi="宋体" w:cs="宋体"/>
          <w:color w:val="auto"/>
          <w:sz w:val="24"/>
          <w:szCs w:val="24"/>
        </w:rPr>
        <w:t>。</w:t>
      </w:r>
    </w:p>
    <w:p>
      <w:pPr>
        <w:pStyle w:val="16"/>
        <w:spacing w:line="360" w:lineRule="auto"/>
        <w:ind w:firstLine="0"/>
        <w:rPr>
          <w:rFonts w:hint="eastAsia" w:hAnsi="宋体" w:cs="宋体"/>
          <w:b/>
          <w:color w:val="auto"/>
          <w:sz w:val="24"/>
          <w:szCs w:val="24"/>
        </w:rPr>
      </w:pPr>
      <w:r>
        <w:rPr>
          <w:rFonts w:hint="eastAsia" w:hAnsi="宋体" w:cs="宋体"/>
          <w:b/>
          <w:color w:val="auto"/>
          <w:sz w:val="24"/>
          <w:szCs w:val="24"/>
        </w:rPr>
        <w:t>十一、开标时间：</w:t>
      </w:r>
      <w:r>
        <w:rPr>
          <w:rFonts w:hint="eastAsia" w:hAnsi="宋体" w:cs="宋体"/>
          <w:color w:val="0000FF"/>
          <w:sz w:val="24"/>
          <w:szCs w:val="24"/>
          <w:lang w:eastAsia="zh-CN"/>
        </w:rPr>
        <w:t>2024</w:t>
      </w:r>
      <w:r>
        <w:rPr>
          <w:rFonts w:hint="eastAsia" w:hAnsi="宋体" w:cs="宋体"/>
          <w:color w:val="0000FF"/>
          <w:sz w:val="24"/>
          <w:szCs w:val="24"/>
        </w:rPr>
        <w:t>年</w:t>
      </w:r>
      <w:r>
        <w:rPr>
          <w:rFonts w:hint="eastAsia" w:hAnsi="宋体" w:cs="宋体"/>
          <w:color w:val="0000FF"/>
          <w:sz w:val="24"/>
          <w:szCs w:val="24"/>
          <w:lang w:val="en-US" w:eastAsia="zh-CN"/>
        </w:rPr>
        <w:t>5</w:t>
      </w:r>
      <w:r>
        <w:rPr>
          <w:rFonts w:hint="eastAsia" w:hAnsi="宋体" w:cs="宋体"/>
          <w:color w:val="0000FF"/>
          <w:sz w:val="24"/>
          <w:szCs w:val="24"/>
        </w:rPr>
        <w:t>月</w:t>
      </w:r>
      <w:r>
        <w:rPr>
          <w:rFonts w:hint="eastAsia" w:hAnsi="宋体" w:cs="宋体"/>
          <w:color w:val="0000FF"/>
          <w:sz w:val="24"/>
          <w:szCs w:val="24"/>
          <w:lang w:val="en-US" w:eastAsia="zh-CN"/>
        </w:rPr>
        <w:t>23</w:t>
      </w:r>
      <w:r>
        <w:rPr>
          <w:rFonts w:hint="eastAsia" w:hAnsi="宋体" w:cs="宋体"/>
          <w:color w:val="0000FF"/>
          <w:sz w:val="24"/>
          <w:szCs w:val="24"/>
        </w:rPr>
        <w:t>日</w:t>
      </w:r>
      <w:r>
        <w:rPr>
          <w:rFonts w:hint="eastAsia" w:hAnsi="宋体" w:cs="宋体"/>
          <w:color w:val="0000FF"/>
          <w:sz w:val="24"/>
          <w:szCs w:val="24"/>
          <w:lang w:val="en-US" w:eastAsia="zh-CN"/>
        </w:rPr>
        <w:t>14</w:t>
      </w:r>
      <w:r>
        <w:rPr>
          <w:rFonts w:hint="eastAsia" w:hAnsi="宋体" w:cs="宋体"/>
          <w:color w:val="0000FF"/>
          <w:sz w:val="24"/>
          <w:szCs w:val="24"/>
        </w:rPr>
        <w:t>时00分</w:t>
      </w:r>
      <w:r>
        <w:rPr>
          <w:rFonts w:hint="eastAsia" w:hAnsi="宋体" w:cs="宋体"/>
          <w:color w:val="auto"/>
          <w:sz w:val="24"/>
          <w:szCs w:val="24"/>
        </w:rPr>
        <w:t>。</w:t>
      </w:r>
    </w:p>
    <w:p>
      <w:pPr>
        <w:pStyle w:val="16"/>
        <w:spacing w:line="360" w:lineRule="auto"/>
        <w:ind w:firstLine="0"/>
        <w:rPr>
          <w:rFonts w:hAnsi="宋体" w:cs="宋体"/>
          <w:b/>
          <w:color w:val="0000FF"/>
          <w:sz w:val="24"/>
          <w:szCs w:val="24"/>
        </w:rPr>
      </w:pPr>
      <w:r>
        <w:rPr>
          <w:rFonts w:hint="eastAsia" w:hAnsi="宋体" w:cs="宋体"/>
          <w:b/>
          <w:color w:val="auto"/>
          <w:sz w:val="24"/>
          <w:szCs w:val="24"/>
        </w:rPr>
        <w:t>十二、开标地点：</w:t>
      </w:r>
      <w:r>
        <w:rPr>
          <w:rFonts w:hint="eastAsia" w:ascii="宋体" w:hAnsi="宋体" w:eastAsia="宋体" w:cs="宋体"/>
          <w:sz w:val="24"/>
          <w:szCs w:val="24"/>
          <w:u w:val="single"/>
        </w:rPr>
        <w:t>湖州市吴兴区公共资源交易中心（湖州市吴兴区区府路1188号总部自由港E幢）4楼开标室</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具体详见大厅大屏显示</w:t>
      </w:r>
      <w:r>
        <w:rPr>
          <w:rFonts w:hint="eastAsia" w:ascii="宋体" w:hAnsi="宋体" w:eastAsia="宋体" w:cs="宋体"/>
          <w:sz w:val="24"/>
          <w:szCs w:val="24"/>
          <w:u w:val="single"/>
          <w:lang w:eastAsia="zh-CN"/>
        </w:rPr>
        <w:t>）</w:t>
      </w:r>
      <w:r>
        <w:rPr>
          <w:rFonts w:hint="eastAsia" w:hAnsi="宋体" w:cs="Arial"/>
          <w:sz w:val="24"/>
        </w:rPr>
        <w:t>（</w:t>
      </w:r>
      <w:r>
        <w:rPr>
          <w:rFonts w:hint="eastAsia" w:hAnsi="宋体" w:cs="宋体"/>
          <w:sz w:val="24"/>
          <w:szCs w:val="24"/>
        </w:rPr>
        <w:t>通过“政府采购云平台（www.zcygov.cn）”实行在线投标响应</w:t>
      </w:r>
      <w:r>
        <w:rPr>
          <w:rFonts w:hint="eastAsia" w:hAnsi="宋体" w:cs="Arial"/>
          <w:sz w:val="24"/>
        </w:rPr>
        <w:t>）</w:t>
      </w:r>
      <w:r>
        <w:rPr>
          <w:rFonts w:hint="eastAsia" w:hAnsi="宋体" w:cs="宋体"/>
          <w:sz w:val="24"/>
          <w:szCs w:val="24"/>
        </w:rPr>
        <w:t>。</w:t>
      </w:r>
      <w:r>
        <w:rPr>
          <w:rFonts w:hint="eastAsia" w:hAnsi="宋体" w:cs="宋体"/>
          <w:b/>
          <w:bCs/>
          <w:sz w:val="24"/>
          <w:szCs w:val="24"/>
          <w:u w:val="single"/>
        </w:rPr>
        <w:t>投标人应妥善安排专人（法定代表人或被授权人）应用CA锁在线解密投标文件。</w:t>
      </w:r>
    </w:p>
    <w:p>
      <w:pPr>
        <w:pStyle w:val="16"/>
        <w:spacing w:line="360" w:lineRule="auto"/>
        <w:ind w:firstLine="0"/>
        <w:rPr>
          <w:rFonts w:hint="eastAsia" w:hAnsi="宋体" w:cs="宋体"/>
          <w:b/>
          <w:color w:val="auto"/>
          <w:sz w:val="24"/>
          <w:szCs w:val="24"/>
        </w:rPr>
      </w:pPr>
      <w:r>
        <w:rPr>
          <w:rFonts w:hint="eastAsia" w:hAnsi="宋体" w:cs="宋体"/>
          <w:b/>
          <w:color w:val="auto"/>
          <w:sz w:val="24"/>
          <w:szCs w:val="24"/>
        </w:rPr>
        <w:t>十三、投标保证金：无</w:t>
      </w:r>
    </w:p>
    <w:p>
      <w:pPr>
        <w:pStyle w:val="31"/>
        <w:spacing w:line="360" w:lineRule="auto"/>
        <w:rPr>
          <w:rFonts w:hint="eastAsia" w:hAnsi="宋体" w:cs="宋体"/>
          <w:b/>
          <w:kern w:val="28"/>
          <w:sz w:val="24"/>
          <w:szCs w:val="24"/>
        </w:rPr>
      </w:pPr>
      <w:r>
        <w:rPr>
          <w:rFonts w:hint="eastAsia" w:hAnsi="宋体" w:cs="宋体"/>
          <w:b/>
          <w:kern w:val="28"/>
          <w:sz w:val="24"/>
          <w:szCs w:val="24"/>
        </w:rPr>
        <w:t>十四、在线投标响应（电子投标）说明</w:t>
      </w:r>
    </w:p>
    <w:p>
      <w:pPr>
        <w:pStyle w:val="55"/>
        <w:spacing w:before="0" w:beforeAutospacing="0" w:after="0" w:afterAutospacing="0" w:line="360" w:lineRule="auto"/>
        <w:ind w:firstLine="480" w:firstLineChars="200"/>
        <w:rPr>
          <w:rFonts w:hint="eastAsia" w:cs="宋体"/>
        </w:rPr>
      </w:pPr>
      <w:r>
        <w:rPr>
          <w:rFonts w:hint="eastAsia" w:cs="宋体"/>
        </w:rPr>
        <w:t>1、本项目通过“政府采购云平台（www.zcygov.cn）”实行在线投标响应（电子投标），供应商应先安装“政采云电子交易客户端”，并按照本采购文件和“政府采购云平台”的要求，通过“政采云电子交易客户端”编制并加密投标文件。供应商未按规定加密的投标文件，“政府采购云平台”将予以拒收。</w:t>
      </w:r>
    </w:p>
    <w:p>
      <w:pPr>
        <w:pStyle w:val="55"/>
        <w:spacing w:before="0" w:beforeAutospacing="0" w:after="0" w:afterAutospacing="0" w:line="360" w:lineRule="auto"/>
        <w:ind w:firstLine="480" w:firstLineChars="200"/>
        <w:rPr>
          <w:rFonts w:hint="eastAsia" w:cs="宋体"/>
        </w:rPr>
      </w:pPr>
      <w:r>
        <w:rPr>
          <w:rFonts w:hint="eastAsia" w:cs="宋体"/>
        </w:rPr>
        <w:t>“政采云电子交易客户端”请自行前往“浙江政府采购网-下载专区-电子交易客户端”进行下载；通过“政府采购云平台”参与在线投标时如遇平台技术问题详询</w:t>
      </w:r>
      <w:r>
        <w:rPr>
          <w:rFonts w:hint="eastAsia" w:ascii="宋体" w:hAnsi="宋体" w:cs="宋体"/>
          <w:kern w:val="0"/>
          <w:sz w:val="24"/>
          <w:lang w:val="en-US" w:eastAsia="zh-CN"/>
        </w:rPr>
        <w:t>95763</w:t>
      </w:r>
      <w:r>
        <w:rPr>
          <w:rFonts w:hint="eastAsia" w:cs="宋体"/>
        </w:rPr>
        <w:t>。</w:t>
      </w:r>
    </w:p>
    <w:p>
      <w:pPr>
        <w:pStyle w:val="55"/>
        <w:spacing w:before="0" w:beforeAutospacing="0" w:after="0" w:afterAutospacing="0" w:line="360" w:lineRule="auto"/>
        <w:ind w:firstLine="480" w:firstLineChars="200"/>
        <w:rPr>
          <w:rFonts w:hint="eastAsia" w:cs="宋体"/>
        </w:rPr>
      </w:pPr>
      <w:r>
        <w:rPr>
          <w:rFonts w:hint="eastAsia" w:cs="宋体"/>
        </w:rPr>
        <w:t>2、为确保网上操作合法、有效和安全，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rFonts w:hint="eastAsia" w:cs="宋体"/>
        </w:rPr>
        <w:fldChar w:fldCharType="begin"/>
      </w:r>
      <w:r>
        <w:rPr>
          <w:rFonts w:hint="eastAsia" w:cs="宋体"/>
        </w:rPr>
        <w:instrText xml:space="preserve"> HYPERLINK "http://zfcg.czt.zj.gov.cn/bidClientTemplate/2019-05-27/12945.html" \o "CA驱动和申领流程" </w:instrText>
      </w:r>
      <w:r>
        <w:rPr>
          <w:rFonts w:hint="eastAsia" w:cs="宋体"/>
        </w:rPr>
        <w:fldChar w:fldCharType="separate"/>
      </w:r>
      <w:r>
        <w:rPr>
          <w:rStyle w:val="68"/>
          <w:rFonts w:hint="eastAsia" w:ascii="宋体" w:hAnsi="宋体" w:eastAsia="宋体" w:cs="宋体"/>
          <w:sz w:val="24"/>
          <w:szCs w:val="24"/>
        </w:rPr>
        <w:t>CA驱动和申领流程</w:t>
      </w:r>
      <w:r>
        <w:rPr>
          <w:rFonts w:hint="eastAsia" w:cs="宋体"/>
        </w:rPr>
        <w:fldChar w:fldCharType="end"/>
      </w:r>
      <w:r>
        <w:rPr>
          <w:rFonts w:hint="eastAsia" w:cs="宋体"/>
        </w:rPr>
        <w:t>”进行查阅。</w:t>
      </w:r>
    </w:p>
    <w:p>
      <w:pPr>
        <w:pStyle w:val="55"/>
        <w:spacing w:before="0" w:beforeAutospacing="0" w:after="0" w:afterAutospacing="0" w:line="360" w:lineRule="auto"/>
        <w:ind w:firstLine="480" w:firstLineChars="200"/>
        <w:rPr>
          <w:rFonts w:hint="eastAsia" w:cs="宋体"/>
        </w:rPr>
      </w:pPr>
      <w:r>
        <w:rPr>
          <w:rFonts w:hint="eastAsia" w:cs="宋体"/>
        </w:rPr>
        <w:t>3、供应商应当在投标截止时间前，将生成的“电子加密投标文件”上传递交至“政府采购云平台”。投标截止时间以后上传递交的投标文件将被“政府采购云平台”拒收。</w:t>
      </w:r>
    </w:p>
    <w:p>
      <w:pPr>
        <w:pStyle w:val="55"/>
        <w:spacing w:before="0" w:beforeAutospacing="0" w:after="0" w:afterAutospacing="0" w:line="360" w:lineRule="auto"/>
        <w:ind w:firstLine="480" w:firstLineChars="200"/>
        <w:rPr>
          <w:rFonts w:cs="宋体"/>
          <w:b/>
          <w:bCs/>
          <w:u w:val="single"/>
        </w:rPr>
      </w:pPr>
      <w:r>
        <w:rPr>
          <w:rFonts w:hint="eastAsia" w:cs="宋体"/>
        </w:rPr>
        <w:t>4、投标文件启用顺序和效力。投标文件的启用，按先后顺位分别为电子投标文件、数据电文形式的备份投标文件，</w:t>
      </w:r>
      <w:r>
        <w:rPr>
          <w:rFonts w:hint="eastAsia" w:cs="宋体"/>
          <w:b/>
          <w:bCs/>
          <w:color w:val="0000FF"/>
          <w:highlight w:val="yellow"/>
          <w:u w:val="single"/>
        </w:rPr>
        <w:t>如果供应商在“政府采购云平台”完成的“电子加密投标文件”出现故障后，采购代理机构将上传供应商在投标截止前按规定提交的“备份投标文件”。届时未按规定提供“备份投标文件”的视为投标文件撤回。</w:t>
      </w:r>
    </w:p>
    <w:p>
      <w:pPr>
        <w:spacing w:line="440" w:lineRule="exact"/>
        <w:ind w:firstLine="422" w:firstLineChars="176"/>
        <w:rPr>
          <w:rFonts w:hint="eastAsia" w:ascii="宋体" w:hAnsi="宋体" w:cs="宋体"/>
          <w:bCs/>
          <w:sz w:val="24"/>
        </w:rPr>
      </w:pPr>
      <w:r>
        <w:rPr>
          <w:rFonts w:hint="eastAsia" w:ascii="宋体" w:hAnsi="宋体" w:cs="宋体"/>
          <w:bCs/>
          <w:color w:val="0000FF"/>
          <w:sz w:val="24"/>
        </w:rPr>
        <w:t>注：“备份响应文件”的递交方式：可通过邮寄或开标现场（如派代表出席现场开标会议的）递交以介质（U盘）存储的数据电文形式的“备份响应文件”。“备份响应文件”格式及内容须与政采云平台项目采购-电子交易操作指南中制作、加密并递交的电子加密响应文件格式及内容一致。“备份响应文件”应当密封包装并在包装上标注投标项目名称、投标单位名称、联系电话并加盖公章。</w:t>
      </w:r>
    </w:p>
    <w:p>
      <w:pPr>
        <w:spacing w:line="360" w:lineRule="auto"/>
        <w:ind w:firstLine="424" w:firstLineChars="176"/>
        <w:rPr>
          <w:rFonts w:hint="eastAsia" w:ascii="宋体" w:hAnsi="宋体" w:cs="宋体"/>
          <w:b/>
          <w:sz w:val="24"/>
        </w:rPr>
      </w:pPr>
      <w:r>
        <w:rPr>
          <w:rFonts w:hint="eastAsia" w:ascii="宋体" w:hAnsi="宋体" w:cs="宋体"/>
          <w:b/>
          <w:sz w:val="24"/>
        </w:rPr>
        <w:t>递交方式二选其一：</w:t>
      </w:r>
    </w:p>
    <w:p>
      <w:pPr>
        <w:numPr>
          <w:ilvl w:val="0"/>
          <w:numId w:val="7"/>
        </w:numPr>
        <w:adjustRightInd/>
        <w:spacing w:line="360" w:lineRule="auto"/>
        <w:rPr>
          <w:rFonts w:hint="eastAsia" w:ascii="宋体" w:hAnsi="宋体" w:cs="宋体"/>
          <w:bCs/>
          <w:sz w:val="24"/>
        </w:rPr>
      </w:pPr>
      <w:r>
        <w:rPr>
          <w:rFonts w:hint="eastAsia" w:ascii="宋体" w:hAnsi="宋体" w:cs="宋体"/>
          <w:bCs/>
          <w:sz w:val="24"/>
        </w:rPr>
        <w:t>供应商采用邮寄递交“备份响应文件”。邮寄地址为：浙江恒盛工程咨询有限公司（</w:t>
      </w:r>
      <w:r>
        <w:rPr>
          <w:rFonts w:hint="eastAsia" w:ascii="宋体" w:hAnsi="宋体" w:cs="宋体"/>
          <w:bCs/>
          <w:sz w:val="24"/>
          <w:lang w:val="en-US" w:eastAsia="zh-CN"/>
        </w:rPr>
        <w:t>湖州市榆树街26号新天地写字楼21层招标部</w:t>
      </w:r>
      <w:r>
        <w:rPr>
          <w:rFonts w:hint="eastAsia" w:ascii="宋体" w:hAnsi="宋体" w:cs="宋体"/>
          <w:bCs/>
          <w:sz w:val="24"/>
        </w:rPr>
        <w:t>），联系人：匡伟，电话：0572-2199129</w:t>
      </w:r>
      <w:r>
        <w:rPr>
          <w:rFonts w:hint="eastAsia" w:ascii="宋体" w:hAnsi="宋体" w:cs="宋体"/>
          <w:bCs/>
          <w:color w:val="0000FF"/>
          <w:sz w:val="24"/>
        </w:rPr>
        <w:fldChar w:fldCharType="begin"/>
      </w:r>
      <w:r>
        <w:rPr>
          <w:rFonts w:hint="eastAsia" w:ascii="宋体" w:hAnsi="宋体" w:cs="宋体"/>
          <w:bCs/>
          <w:color w:val="0000FF"/>
          <w:sz w:val="24"/>
        </w:rPr>
        <w:instrText xml:space="preserve"> HYPERLINK "mailto:897221106@qq.com。邮寄截止时间：供应商应于2020年" </w:instrText>
      </w:r>
      <w:r>
        <w:rPr>
          <w:rFonts w:hint="eastAsia" w:ascii="宋体" w:hAnsi="宋体" w:cs="宋体"/>
          <w:bCs/>
          <w:color w:val="0000FF"/>
          <w:sz w:val="24"/>
        </w:rPr>
        <w:fldChar w:fldCharType="separate"/>
      </w:r>
      <w:r>
        <w:rPr>
          <w:rFonts w:hint="eastAsia" w:ascii="宋体" w:hAnsi="宋体" w:cs="宋体"/>
          <w:bCs/>
          <w:color w:val="0000FF"/>
          <w:sz w:val="24"/>
        </w:rPr>
        <w:t>。</w:t>
      </w:r>
      <w:r>
        <w:rPr>
          <w:rFonts w:hint="eastAsia" w:ascii="宋体" w:hAnsi="宋体" w:cs="宋体"/>
          <w:bCs/>
          <w:sz w:val="24"/>
        </w:rPr>
        <w:t>邮寄接收截止时间：供应商应于</w:t>
      </w:r>
      <w:r>
        <w:rPr>
          <w:rFonts w:hint="eastAsia" w:ascii="宋体" w:hAnsi="宋体" w:cs="宋体"/>
          <w:bCs/>
          <w:color w:val="0000FF"/>
          <w:sz w:val="24"/>
          <w:lang w:eastAsia="zh-CN"/>
        </w:rPr>
        <w:t>2024</w:t>
      </w:r>
      <w:r>
        <w:rPr>
          <w:rFonts w:hint="eastAsia" w:ascii="宋体" w:hAnsi="宋体" w:cs="宋体"/>
          <w:bCs/>
          <w:color w:val="0000FF"/>
          <w:sz w:val="24"/>
        </w:rPr>
        <w:t>年</w:t>
      </w:r>
      <w:r>
        <w:rPr>
          <w:rFonts w:hint="eastAsia" w:ascii="宋体" w:hAnsi="宋体" w:cs="宋体"/>
          <w:bCs/>
          <w:color w:val="0000FF"/>
          <w:sz w:val="24"/>
        </w:rPr>
        <w:fldChar w:fldCharType="end"/>
      </w:r>
      <w:r>
        <w:rPr>
          <w:rFonts w:hint="eastAsia" w:ascii="宋体" w:hAnsi="宋体" w:cs="宋体"/>
          <w:bCs/>
          <w:color w:val="0000FF"/>
          <w:sz w:val="24"/>
          <w:lang w:val="en-US" w:eastAsia="zh-CN"/>
        </w:rPr>
        <w:t>5</w:t>
      </w:r>
      <w:r>
        <w:rPr>
          <w:rFonts w:hint="eastAsia" w:ascii="宋体" w:hAnsi="宋体" w:cs="宋体"/>
          <w:bCs/>
          <w:color w:val="0000FF"/>
          <w:sz w:val="24"/>
        </w:rPr>
        <w:t>月</w:t>
      </w:r>
      <w:r>
        <w:rPr>
          <w:rFonts w:hint="eastAsia" w:ascii="宋体" w:hAnsi="宋体" w:cs="宋体"/>
          <w:bCs/>
          <w:color w:val="0000FF"/>
          <w:sz w:val="24"/>
          <w:lang w:val="en-US" w:eastAsia="zh-CN"/>
        </w:rPr>
        <w:t>22</w:t>
      </w:r>
      <w:r>
        <w:rPr>
          <w:rFonts w:hint="eastAsia" w:ascii="宋体" w:hAnsi="宋体" w:cs="宋体"/>
          <w:bCs/>
          <w:color w:val="0000FF"/>
          <w:sz w:val="24"/>
        </w:rPr>
        <w:t>日</w:t>
      </w:r>
      <w:r>
        <w:rPr>
          <w:rFonts w:hint="eastAsia" w:ascii="宋体" w:hAnsi="宋体" w:cs="宋体"/>
          <w:bCs/>
          <w:sz w:val="24"/>
        </w:rPr>
        <w:t xml:space="preserve">16:30时前送达【以收件人实际签收时间为准】，逾期送达或未密封或到付件将拒绝接收。  </w:t>
      </w:r>
      <w:r>
        <w:rPr>
          <w:rFonts w:hint="eastAsia" w:ascii="宋体" w:hAnsi="宋体" w:cs="宋体"/>
          <w:bCs/>
          <w:snapToGrid w:val="0"/>
          <w:kern w:val="28"/>
          <w:sz w:val="24"/>
        </w:rPr>
        <w:t xml:space="preserve">   </w:t>
      </w:r>
    </w:p>
    <w:p>
      <w:pPr>
        <w:pStyle w:val="55"/>
        <w:spacing w:before="0" w:beforeAutospacing="0" w:after="0" w:afterAutospacing="0" w:line="360" w:lineRule="auto"/>
        <w:ind w:firstLine="480" w:firstLineChars="200"/>
        <w:rPr>
          <w:rFonts w:hint="eastAsia" w:cs="宋体"/>
          <w:bCs/>
          <w:snapToGrid w:val="0"/>
          <w:kern w:val="28"/>
        </w:rPr>
      </w:pPr>
      <w:r>
        <w:rPr>
          <w:rFonts w:hint="eastAsia" w:cs="宋体"/>
          <w:bCs/>
        </w:rPr>
        <w:t>开标</w:t>
      </w:r>
      <w:r>
        <w:rPr>
          <w:rFonts w:hint="eastAsia" w:cs="宋体"/>
          <w:bCs/>
          <w:lang w:val="en-US" w:eastAsia="zh-CN"/>
        </w:rPr>
        <w:t>当天</w:t>
      </w:r>
      <w:r>
        <w:rPr>
          <w:rFonts w:hint="eastAsia" w:cs="宋体"/>
          <w:bCs/>
        </w:rPr>
        <w:t>现场递交地址与时间：应在投标截止时间前递交至</w:t>
      </w:r>
      <w:r>
        <w:rPr>
          <w:rFonts w:hint="eastAsia" w:hAnsi="宋体" w:cs="宋体"/>
          <w:sz w:val="24"/>
          <w:szCs w:val="24"/>
        </w:rPr>
        <w:t>湖州市吴兴区公共资源交易中心（湖州市吴兴区区府路1188号总部自由港E幢）4楼开标室</w:t>
      </w:r>
      <w:r>
        <w:rPr>
          <w:rFonts w:hint="eastAsia" w:hAnsi="宋体" w:cs="宋体"/>
          <w:sz w:val="24"/>
          <w:szCs w:val="24"/>
          <w:lang w:eastAsia="zh-CN"/>
        </w:rPr>
        <w:t>（</w:t>
      </w:r>
      <w:r>
        <w:rPr>
          <w:rFonts w:hint="eastAsia" w:hAnsi="宋体" w:cs="宋体"/>
          <w:sz w:val="24"/>
          <w:szCs w:val="24"/>
          <w:lang w:val="en-US" w:eastAsia="zh-CN"/>
        </w:rPr>
        <w:t>具体详见大厅大屏显示</w:t>
      </w:r>
      <w:r>
        <w:rPr>
          <w:rFonts w:hint="eastAsia" w:hAnsi="宋体" w:cs="宋体"/>
          <w:sz w:val="24"/>
          <w:szCs w:val="24"/>
          <w:lang w:eastAsia="zh-CN"/>
        </w:rPr>
        <w:t>）</w:t>
      </w:r>
      <w:r>
        <w:rPr>
          <w:rFonts w:hint="eastAsia" w:cs="宋体"/>
          <w:bCs/>
        </w:rPr>
        <w:t>，逾期送达或未密封将拒绝接收。</w:t>
      </w:r>
      <w:r>
        <w:rPr>
          <w:rFonts w:hint="eastAsia" w:cs="宋体"/>
          <w:bCs/>
          <w:snapToGrid w:val="0"/>
          <w:kern w:val="28"/>
        </w:rPr>
        <w:t xml:space="preserve">            </w:t>
      </w:r>
    </w:p>
    <w:p>
      <w:pPr>
        <w:pStyle w:val="55"/>
        <w:spacing w:before="0" w:beforeAutospacing="0" w:after="0" w:afterAutospacing="0" w:line="360" w:lineRule="auto"/>
        <w:ind w:firstLine="482" w:firstLineChars="200"/>
        <w:rPr>
          <w:rFonts w:hint="eastAsia" w:cs="宋体"/>
          <w:b/>
          <w:bCs/>
          <w:color w:val="0000FF"/>
          <w:highlight w:val="yellow"/>
          <w:u w:val="single"/>
        </w:rPr>
      </w:pPr>
      <w:r>
        <w:rPr>
          <w:rFonts w:hint="eastAsia" w:cs="宋体"/>
          <w:b/>
          <w:bCs/>
          <w:color w:val="0000FF"/>
          <w:highlight w:val="yellow"/>
          <w:u w:val="single"/>
        </w:rPr>
        <w:t>5、通过“政府采购云平台”上传递交的“电子加密投标文件”无法按时解密，供应商递交了备份投标文件的，以备份投标文件为依据，否则视为投标文件撤回。通过“政府采购云平台”上传递交的“电子加密投标文件”已按时解密的，“备份投标文件”自动失效。供应商仅递交备份投标文件的，投标无效。</w:t>
      </w:r>
    </w:p>
    <w:p>
      <w:pPr>
        <w:pStyle w:val="16"/>
        <w:spacing w:line="360" w:lineRule="auto"/>
        <w:ind w:firstLine="0"/>
        <w:rPr>
          <w:rFonts w:hint="eastAsia" w:hAnsi="宋体" w:cs="宋体"/>
          <w:b/>
          <w:color w:val="auto"/>
          <w:sz w:val="24"/>
          <w:szCs w:val="24"/>
        </w:rPr>
      </w:pPr>
      <w:r>
        <w:rPr>
          <w:rFonts w:hint="eastAsia" w:hAnsi="宋体" w:cs="宋体"/>
          <w:b/>
          <w:color w:val="auto"/>
          <w:sz w:val="24"/>
          <w:szCs w:val="24"/>
        </w:rPr>
        <w:t>十五、其他事项：</w:t>
      </w:r>
    </w:p>
    <w:p>
      <w:pPr>
        <w:pStyle w:val="16"/>
        <w:spacing w:line="360" w:lineRule="auto"/>
        <w:ind w:firstLine="480" w:firstLineChars="200"/>
        <w:rPr>
          <w:rFonts w:hint="eastAsia" w:hAnsi="宋体" w:cs="宋体"/>
          <w:bCs/>
          <w:color w:val="auto"/>
          <w:sz w:val="24"/>
          <w:szCs w:val="24"/>
        </w:rPr>
      </w:pPr>
      <w:r>
        <w:rPr>
          <w:rFonts w:hint="eastAsia" w:hAnsi="宋体" w:cs="宋体"/>
          <w:bCs/>
          <w:color w:val="auto"/>
          <w:sz w:val="24"/>
          <w:szCs w:val="24"/>
        </w:rPr>
        <w:t>1、本项目公告期限：5个工作日。</w:t>
      </w:r>
    </w:p>
    <w:p>
      <w:pPr>
        <w:pStyle w:val="16"/>
        <w:spacing w:line="360" w:lineRule="auto"/>
        <w:ind w:firstLine="480" w:firstLineChars="200"/>
        <w:rPr>
          <w:rFonts w:hint="eastAsia" w:hAnsi="宋体" w:cs="宋体"/>
          <w:bCs/>
          <w:color w:val="0000FF"/>
          <w:sz w:val="24"/>
          <w:szCs w:val="24"/>
        </w:rPr>
      </w:pPr>
      <w:r>
        <w:rPr>
          <w:rFonts w:hint="eastAsia" w:hAnsi="宋体" w:cs="宋体"/>
          <w:bCs/>
          <w:color w:val="0000FF"/>
          <w:sz w:val="24"/>
          <w:szCs w:val="24"/>
        </w:rPr>
        <w:t>2、本项目是否专门面向中小企业采购：</w:t>
      </w:r>
      <w:r>
        <w:rPr>
          <w:rFonts w:hint="eastAsia" w:hAnsi="宋体" w:cs="宋体"/>
          <w:bCs/>
          <w:color w:val="0000FF"/>
          <w:sz w:val="24"/>
          <w:szCs w:val="24"/>
          <w:lang w:val="en-US" w:eastAsia="zh-CN"/>
        </w:rPr>
        <w:t>否</w:t>
      </w:r>
      <w:r>
        <w:rPr>
          <w:rFonts w:hint="eastAsia" w:hAnsi="宋体" w:cs="宋体"/>
          <w:bCs/>
          <w:color w:val="0000FF"/>
          <w:sz w:val="24"/>
          <w:szCs w:val="24"/>
        </w:rPr>
        <w:t>。</w:t>
      </w:r>
    </w:p>
    <w:p>
      <w:pPr>
        <w:pStyle w:val="16"/>
        <w:spacing w:line="360" w:lineRule="auto"/>
        <w:ind w:firstLine="480" w:firstLineChars="200"/>
        <w:rPr>
          <w:rFonts w:hint="eastAsia" w:hAnsi="宋体" w:cs="宋体"/>
          <w:bCs/>
          <w:color w:val="0000FF"/>
          <w:sz w:val="24"/>
          <w:szCs w:val="24"/>
        </w:rPr>
      </w:pPr>
      <w:r>
        <w:rPr>
          <w:rFonts w:hint="eastAsia" w:hAnsi="宋体" w:cs="宋体"/>
          <w:bCs/>
          <w:color w:val="0000FF"/>
          <w:sz w:val="24"/>
        </w:rPr>
        <w:t>3、本项目采购标的对应的中小企业划分标准所属行业为</w:t>
      </w:r>
      <w:r>
        <w:rPr>
          <w:rFonts w:hint="eastAsia" w:hAnsi="宋体" w:cs="宋体"/>
          <w:bCs/>
          <w:color w:val="0000FF"/>
          <w:sz w:val="24"/>
          <w:u w:val="none"/>
          <w:lang w:val="en-US" w:eastAsia="zh-CN"/>
        </w:rPr>
        <w:t>工业行业</w:t>
      </w:r>
      <w:r>
        <w:rPr>
          <w:rFonts w:hint="eastAsia" w:hAnsi="宋体" w:cs="宋体"/>
          <w:bCs/>
          <w:color w:val="0000FF"/>
          <w:sz w:val="24"/>
          <w:u w:val="none"/>
        </w:rPr>
        <w:t>。</w:t>
      </w:r>
    </w:p>
    <w:p>
      <w:pPr>
        <w:pStyle w:val="16"/>
        <w:spacing w:line="360" w:lineRule="auto"/>
        <w:ind w:firstLine="480" w:firstLineChars="200"/>
        <w:rPr>
          <w:rFonts w:hint="eastAsia" w:hAnsi="宋体" w:cs="宋体"/>
          <w:color w:val="auto"/>
          <w:sz w:val="24"/>
          <w:szCs w:val="24"/>
        </w:rPr>
      </w:pPr>
      <w:r>
        <w:rPr>
          <w:rFonts w:hint="eastAsia" w:hAnsi="宋体" w:cs="宋体"/>
          <w:bCs/>
          <w:color w:val="auto"/>
          <w:sz w:val="24"/>
          <w:szCs w:val="24"/>
        </w:rPr>
        <w:t>4、公告发布范围：</w:t>
      </w:r>
      <w:r>
        <w:rPr>
          <w:rFonts w:hint="eastAsia" w:hAnsi="宋体" w:cs="宋体"/>
          <w:bCs/>
          <w:color w:val="0000FF"/>
          <w:sz w:val="24"/>
          <w:szCs w:val="24"/>
        </w:rPr>
        <w:t>浙江政府采购网</w:t>
      </w:r>
      <w:r>
        <w:rPr>
          <w:rFonts w:hint="eastAsia" w:hAnsi="宋体" w:cs="宋体"/>
          <w:bCs/>
          <w:color w:val="auto"/>
          <w:sz w:val="24"/>
          <w:szCs w:val="24"/>
        </w:rPr>
        <w:t>。</w:t>
      </w:r>
    </w:p>
    <w:p>
      <w:pPr>
        <w:pStyle w:val="16"/>
        <w:spacing w:line="360" w:lineRule="auto"/>
        <w:ind w:firstLine="480" w:firstLineChars="200"/>
        <w:rPr>
          <w:rFonts w:hint="eastAsia" w:hAnsi="宋体" w:cs="宋体"/>
          <w:color w:val="auto"/>
          <w:sz w:val="24"/>
          <w:szCs w:val="24"/>
        </w:rPr>
      </w:pPr>
      <w:r>
        <w:rPr>
          <w:rFonts w:hint="eastAsia" w:hAnsi="宋体" w:cs="宋体"/>
          <w:color w:val="auto"/>
          <w:sz w:val="24"/>
          <w:szCs w:val="24"/>
        </w:rPr>
        <w:t>5、质疑和投诉：</w:t>
      </w:r>
    </w:p>
    <w:p>
      <w:pPr>
        <w:pStyle w:val="254"/>
        <w:adjustRightInd/>
        <w:snapToGrid w:val="0"/>
        <w:spacing w:before="0"/>
        <w:ind w:firstLine="480"/>
        <w:rPr>
          <w:rFonts w:hint="eastAsia" w:ascii="宋体" w:hAnsi="宋体" w:cs="宋体"/>
          <w:bCs/>
          <w:snapToGrid w:val="0"/>
          <w:kern w:val="28"/>
          <w:szCs w:val="24"/>
        </w:rPr>
      </w:pPr>
      <w:r>
        <w:rPr>
          <w:rFonts w:hint="eastAsia" w:ascii="宋体" w:hAnsi="宋体" w:cs="宋体"/>
          <w:bCs/>
          <w:snapToGrid w:val="0"/>
          <w:kern w:val="28"/>
          <w:szCs w:val="24"/>
        </w:rPr>
        <w:t>供应商认为采购文件、采购过程和中标结果使自己的权益受到损害的，可以在知道或者应知其权益受到损害之日起七个工作日内，以书面形式向采购代理机构提出质疑。</w:t>
      </w:r>
    </w:p>
    <w:p>
      <w:pPr>
        <w:pStyle w:val="16"/>
        <w:adjustRightInd/>
        <w:spacing w:line="360" w:lineRule="auto"/>
        <w:ind w:firstLine="480" w:firstLineChars="200"/>
        <w:rPr>
          <w:rFonts w:hint="eastAsia" w:hAnsi="宋体" w:cs="宋体"/>
          <w:bCs/>
          <w:color w:val="auto"/>
          <w:sz w:val="24"/>
          <w:szCs w:val="24"/>
        </w:rPr>
      </w:pPr>
      <w:r>
        <w:rPr>
          <w:rFonts w:hint="eastAsia" w:hAnsi="宋体" w:cs="宋体"/>
          <w:bCs/>
          <w:color w:val="auto"/>
          <w:sz w:val="24"/>
          <w:szCs w:val="24"/>
        </w:rPr>
        <w:t>供应商对采购代理机构的质疑答复不满意或者采购代理机构未在规定时间内作出答复的，可以在答复期满后十五个工作日内向同级政府采购监督管理部门投诉。</w:t>
      </w:r>
    </w:p>
    <w:p>
      <w:pPr>
        <w:pStyle w:val="16"/>
        <w:keepNext w:val="0"/>
        <w:keepLines w:val="0"/>
        <w:pageBreakBefore w:val="0"/>
        <w:kinsoku/>
        <w:wordWrap/>
        <w:overflowPunct/>
        <w:topLinePunct w:val="0"/>
        <w:autoSpaceDE/>
        <w:autoSpaceDN/>
        <w:bidi w:val="0"/>
        <w:spacing w:line="420" w:lineRule="exact"/>
        <w:ind w:firstLine="480" w:firstLineChars="200"/>
        <w:textAlignment w:val="auto"/>
        <w:rPr>
          <w:rFonts w:hint="eastAsia" w:hAnsi="宋体" w:cs="宋体"/>
          <w:bCs/>
          <w:color w:val="0000FF"/>
          <w:sz w:val="24"/>
          <w:szCs w:val="24"/>
        </w:rPr>
      </w:pPr>
      <w:r>
        <w:rPr>
          <w:rFonts w:hint="eastAsia" w:hAnsi="宋体" w:cs="宋体"/>
          <w:bCs/>
          <w:color w:val="0000FF"/>
          <w:sz w:val="24"/>
          <w:szCs w:val="24"/>
        </w:rPr>
        <w:t>6、为有效破解当前中小微企业面临的“融资难、融资贵”困局，充分发挥好政府采购扶持小微企业发展的政策功能，本项目中标供应商可凭中标通知书等材料至“绿贷通平台”网页（https://lvdt.huzldt.com）或“政采贷”平台网页（www.zcygov.cn）申请相关融资产品。具体操作方式可在“绿贷通”或“政采贷”平台网站查询，也可向“绿贷通”或“政采贷”平台电话咨询（“绿贷通”联系电话：0572-2392590、“政采贷”联系电话：0572-2151055、18698580797）。</w:t>
      </w:r>
    </w:p>
    <w:p>
      <w:pPr>
        <w:pStyle w:val="31"/>
        <w:keepNext w:val="0"/>
        <w:keepLines w:val="0"/>
        <w:pageBreakBefore w:val="0"/>
        <w:kinsoku/>
        <w:wordWrap/>
        <w:overflowPunct/>
        <w:topLinePunct w:val="0"/>
        <w:autoSpaceDE/>
        <w:autoSpaceDN/>
        <w:bidi w:val="0"/>
        <w:spacing w:line="420" w:lineRule="exact"/>
        <w:textAlignment w:val="auto"/>
        <w:rPr>
          <w:rFonts w:hint="eastAsia" w:hAnsi="宋体" w:cs="宋体"/>
          <w:b/>
          <w:sz w:val="24"/>
          <w:szCs w:val="24"/>
        </w:rPr>
      </w:pPr>
      <w:r>
        <w:rPr>
          <w:rFonts w:hint="eastAsia" w:hAnsi="宋体" w:cs="宋体"/>
          <w:b/>
          <w:sz w:val="24"/>
          <w:szCs w:val="24"/>
        </w:rPr>
        <w:t>十七、采购人、采购代理机构业务咨询：</w:t>
      </w:r>
    </w:p>
    <w:p>
      <w:pPr>
        <w:pStyle w:val="16"/>
        <w:keepNext w:val="0"/>
        <w:keepLines w:val="0"/>
        <w:pageBreakBefore w:val="0"/>
        <w:kinsoku/>
        <w:wordWrap/>
        <w:overflowPunct/>
        <w:topLinePunct w:val="0"/>
        <w:autoSpaceDE/>
        <w:autoSpaceDN/>
        <w:bidi w:val="0"/>
        <w:spacing w:line="420" w:lineRule="exact"/>
        <w:ind w:firstLine="480" w:firstLineChars="200"/>
        <w:textAlignment w:val="auto"/>
        <w:rPr>
          <w:rFonts w:hint="eastAsia" w:hAnsi="宋体" w:cs="宋体"/>
          <w:color w:val="auto"/>
          <w:sz w:val="24"/>
          <w:szCs w:val="24"/>
        </w:rPr>
      </w:pPr>
      <w:r>
        <w:rPr>
          <w:rFonts w:hint="eastAsia" w:hAnsi="宋体" w:cs="宋体"/>
          <w:color w:val="auto"/>
          <w:sz w:val="24"/>
          <w:szCs w:val="24"/>
        </w:rPr>
        <w:t>1、采购人：</w:t>
      </w:r>
      <w:r>
        <w:rPr>
          <w:rFonts w:hint="eastAsia" w:hAnsi="宋体" w:cs="宋体"/>
          <w:color w:val="auto"/>
          <w:sz w:val="24"/>
          <w:szCs w:val="24"/>
          <w:lang w:eastAsia="zh-CN"/>
        </w:rPr>
        <w:t>湖州市埭溪镇上强中学</w:t>
      </w:r>
      <w:r>
        <w:rPr>
          <w:rFonts w:hint="eastAsia" w:hAnsi="宋体" w:cs="宋体"/>
          <w:color w:val="auto"/>
          <w:sz w:val="24"/>
          <w:szCs w:val="24"/>
        </w:rPr>
        <w:t xml:space="preserve">  </w:t>
      </w:r>
    </w:p>
    <w:p>
      <w:pPr>
        <w:pStyle w:val="16"/>
        <w:keepNext w:val="0"/>
        <w:keepLines w:val="0"/>
        <w:pageBreakBefore w:val="0"/>
        <w:kinsoku/>
        <w:wordWrap/>
        <w:overflowPunct/>
        <w:topLinePunct w:val="0"/>
        <w:autoSpaceDE/>
        <w:autoSpaceDN/>
        <w:bidi w:val="0"/>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联系人：</w:t>
      </w:r>
      <w:r>
        <w:rPr>
          <w:rFonts w:hint="eastAsia" w:ascii="宋体" w:hAnsi="宋体" w:eastAsia="宋体" w:cs="宋体"/>
          <w:color w:val="auto"/>
          <w:sz w:val="24"/>
          <w:szCs w:val="24"/>
          <w:lang w:val="en-US" w:eastAsia="zh-CN"/>
        </w:rPr>
        <w:t>柯</w:t>
      </w:r>
      <w:r>
        <w:rPr>
          <w:rFonts w:hint="eastAsia" w:hAnsi="宋体" w:cs="宋体"/>
          <w:color w:val="auto"/>
          <w:sz w:val="24"/>
          <w:szCs w:val="24"/>
          <w:lang w:val="en-US" w:eastAsia="zh-CN"/>
        </w:rPr>
        <w:t>老师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联系电话：0572-</w:t>
      </w:r>
      <w:r>
        <w:rPr>
          <w:rFonts w:hint="eastAsia" w:ascii="宋体" w:hAnsi="宋体" w:eastAsia="宋体" w:cs="宋体"/>
          <w:color w:val="auto"/>
          <w:sz w:val="24"/>
          <w:szCs w:val="24"/>
          <w:lang w:val="en-US" w:eastAsia="zh-CN"/>
        </w:rPr>
        <w:t>3983079</w:t>
      </w:r>
      <w:r>
        <w:rPr>
          <w:rFonts w:hint="eastAsia" w:ascii="宋体" w:hAnsi="宋体" w:eastAsia="宋体" w:cs="宋体"/>
          <w:color w:val="auto"/>
          <w:sz w:val="24"/>
          <w:szCs w:val="24"/>
        </w:rPr>
        <w:t xml:space="preserve"> </w:t>
      </w:r>
    </w:p>
    <w:p>
      <w:pPr>
        <w:pStyle w:val="16"/>
        <w:keepNext w:val="0"/>
        <w:keepLines w:val="0"/>
        <w:pageBreakBefore w:val="0"/>
        <w:kinsoku/>
        <w:wordWrap/>
        <w:overflowPunct/>
        <w:topLinePunct w:val="0"/>
        <w:autoSpaceDE/>
        <w:autoSpaceDN/>
        <w:bidi w:val="0"/>
        <w:spacing w:line="420" w:lineRule="exact"/>
        <w:ind w:firstLine="480" w:firstLineChars="200"/>
        <w:textAlignment w:val="auto"/>
        <w:rPr>
          <w:rFonts w:hint="default"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质疑联系人：蒋</w:t>
      </w:r>
      <w:r>
        <w:rPr>
          <w:rFonts w:hint="eastAsia" w:hAnsi="宋体" w:cs="宋体"/>
          <w:color w:val="auto"/>
          <w:sz w:val="24"/>
          <w:szCs w:val="24"/>
          <w:highlight w:val="none"/>
          <w:lang w:val="en-US" w:eastAsia="zh-CN"/>
        </w:rPr>
        <w:t>老师</w:t>
      </w:r>
      <w:r>
        <w:rPr>
          <w:rFonts w:hint="eastAsia" w:hAnsi="宋体" w:eastAsia="宋体" w:cs="宋体"/>
          <w:color w:val="auto"/>
          <w:sz w:val="24"/>
          <w:szCs w:val="24"/>
          <w:highlight w:val="none"/>
          <w:lang w:val="en-US" w:eastAsia="zh-CN"/>
        </w:rPr>
        <w:t xml:space="preserve">      </w:t>
      </w:r>
      <w:r>
        <w:rPr>
          <w:rFonts w:hint="eastAsia" w:hAnsi="宋体" w:cs="宋体"/>
          <w:color w:val="auto"/>
          <w:sz w:val="24"/>
          <w:szCs w:val="24"/>
          <w:highlight w:val="none"/>
        </w:rPr>
        <w:t>联系电话：</w:t>
      </w:r>
      <w:r>
        <w:rPr>
          <w:rFonts w:hAnsi="宋体" w:cs="宋体"/>
          <w:kern w:val="0"/>
          <w:sz w:val="24"/>
          <w:highlight w:val="none"/>
        </w:rPr>
        <w:t>0572-</w:t>
      </w:r>
      <w:r>
        <w:rPr>
          <w:rFonts w:hint="eastAsia" w:hAnsi="宋体" w:cs="宋体"/>
          <w:kern w:val="0"/>
          <w:sz w:val="24"/>
          <w:highlight w:val="none"/>
        </w:rPr>
        <w:t>3982978</w:t>
      </w:r>
      <w:r>
        <w:rPr>
          <w:rFonts w:hint="eastAsia" w:hAnsi="宋体" w:cs="宋体"/>
          <w:kern w:val="0"/>
          <w:sz w:val="24"/>
          <w:highlight w:val="none"/>
          <w:lang w:val="en-US" w:eastAsia="zh-CN"/>
        </w:rPr>
        <w:t xml:space="preserve"> </w:t>
      </w:r>
    </w:p>
    <w:p>
      <w:pPr>
        <w:pStyle w:val="16"/>
        <w:keepNext w:val="0"/>
        <w:keepLines w:val="0"/>
        <w:pageBreakBefore w:val="0"/>
        <w:kinsoku/>
        <w:wordWrap/>
        <w:overflowPunct/>
        <w:topLinePunct w:val="0"/>
        <w:autoSpaceDE/>
        <w:autoSpaceDN/>
        <w:bidi w:val="0"/>
        <w:spacing w:line="420" w:lineRule="exact"/>
        <w:ind w:firstLine="480" w:firstLineChars="200"/>
        <w:textAlignment w:val="auto"/>
        <w:rPr>
          <w:rFonts w:hint="eastAsia" w:hAnsi="宋体" w:cs="宋体"/>
          <w:bCs/>
          <w:color w:val="auto"/>
          <w:sz w:val="24"/>
          <w:szCs w:val="24"/>
        </w:rPr>
      </w:pPr>
      <w:r>
        <w:rPr>
          <w:rFonts w:hint="eastAsia" w:hAnsi="宋体" w:cs="宋体"/>
          <w:bCs/>
          <w:color w:val="auto"/>
          <w:sz w:val="24"/>
          <w:szCs w:val="24"/>
        </w:rPr>
        <w:t>2、采购代理机构：浙江恒盛工程咨询有限公司</w:t>
      </w:r>
    </w:p>
    <w:p>
      <w:pPr>
        <w:pStyle w:val="16"/>
        <w:keepNext w:val="0"/>
        <w:keepLines w:val="0"/>
        <w:pageBreakBefore w:val="0"/>
        <w:kinsoku/>
        <w:wordWrap/>
        <w:overflowPunct/>
        <w:topLinePunct w:val="0"/>
        <w:autoSpaceDE/>
        <w:autoSpaceDN/>
        <w:bidi w:val="0"/>
        <w:spacing w:line="420" w:lineRule="exact"/>
        <w:ind w:firstLine="480" w:firstLineChars="200"/>
        <w:textAlignment w:val="auto"/>
        <w:rPr>
          <w:rFonts w:hAnsi="宋体" w:cs="宋体"/>
          <w:b/>
          <w:bCs/>
          <w:snapToGrid/>
          <w:color w:val="auto"/>
          <w:kern w:val="2"/>
          <w:sz w:val="24"/>
          <w:szCs w:val="24"/>
        </w:rPr>
      </w:pPr>
      <w:r>
        <w:rPr>
          <w:rFonts w:hint="eastAsia" w:hAnsi="宋体" w:cs="宋体"/>
          <w:color w:val="auto"/>
          <w:sz w:val="24"/>
          <w:szCs w:val="24"/>
        </w:rPr>
        <w:t xml:space="preserve">联系人：匡伟     </w:t>
      </w:r>
      <w:r>
        <w:rPr>
          <w:rFonts w:hint="eastAsia" w:hAnsi="宋体" w:cs="宋体"/>
          <w:color w:val="auto"/>
          <w:sz w:val="24"/>
          <w:szCs w:val="24"/>
          <w:lang w:val="en-US" w:eastAsia="zh-CN"/>
        </w:rPr>
        <w:t xml:space="preserve">       </w:t>
      </w:r>
      <w:r>
        <w:rPr>
          <w:rFonts w:hint="eastAsia" w:hAnsi="宋体" w:cs="宋体"/>
          <w:color w:val="auto"/>
          <w:sz w:val="24"/>
          <w:szCs w:val="24"/>
        </w:rPr>
        <w:t xml:space="preserve">联系电话：0572-2199129     </w:t>
      </w:r>
    </w:p>
    <w:p>
      <w:pPr>
        <w:pStyle w:val="16"/>
        <w:keepNext w:val="0"/>
        <w:keepLines w:val="0"/>
        <w:pageBreakBefore w:val="0"/>
        <w:kinsoku/>
        <w:wordWrap/>
        <w:overflowPunct/>
        <w:topLinePunct w:val="0"/>
        <w:autoSpaceDE/>
        <w:autoSpaceDN/>
        <w:bidi w:val="0"/>
        <w:adjustRightInd/>
        <w:spacing w:line="420" w:lineRule="exact"/>
        <w:ind w:firstLine="480" w:firstLineChars="200"/>
        <w:textAlignment w:val="auto"/>
        <w:rPr>
          <w:rFonts w:hAnsi="宋体" w:cs="宋体"/>
          <w:bCs/>
          <w:color w:val="auto"/>
          <w:sz w:val="24"/>
          <w:szCs w:val="24"/>
        </w:rPr>
      </w:pPr>
      <w:r>
        <w:rPr>
          <w:rFonts w:hint="eastAsia" w:hAnsi="宋体" w:cs="宋体"/>
          <w:snapToGrid/>
          <w:color w:val="auto"/>
          <w:kern w:val="2"/>
          <w:sz w:val="24"/>
          <w:szCs w:val="24"/>
        </w:rPr>
        <w:t>质疑</w:t>
      </w:r>
      <w:r>
        <w:rPr>
          <w:rFonts w:hint="eastAsia" w:hAnsi="宋体" w:cs="宋体"/>
          <w:bCs/>
          <w:color w:val="auto"/>
          <w:sz w:val="24"/>
          <w:szCs w:val="24"/>
        </w:rPr>
        <w:t>联系人：</w:t>
      </w:r>
      <w:r>
        <w:rPr>
          <w:rFonts w:hint="eastAsia" w:hAnsi="宋体" w:cs="宋体"/>
          <w:bCs/>
          <w:color w:val="auto"/>
          <w:sz w:val="24"/>
          <w:szCs w:val="24"/>
          <w:lang w:val="en-US" w:eastAsia="zh-CN"/>
        </w:rPr>
        <w:t>王佳</w:t>
      </w:r>
      <w:r>
        <w:rPr>
          <w:rFonts w:hint="eastAsia" w:hAnsi="宋体" w:cs="宋体"/>
          <w:bCs/>
          <w:color w:val="auto"/>
          <w:sz w:val="24"/>
          <w:szCs w:val="24"/>
        </w:rPr>
        <w:t xml:space="preserve">    </w:t>
      </w:r>
      <w:r>
        <w:rPr>
          <w:rFonts w:hint="eastAsia" w:hAnsi="宋体" w:cs="宋体"/>
          <w:bCs/>
          <w:color w:val="auto"/>
          <w:sz w:val="24"/>
          <w:szCs w:val="24"/>
          <w:lang w:val="en-US" w:eastAsia="zh-CN"/>
        </w:rPr>
        <w:t xml:space="preserve">   </w:t>
      </w:r>
      <w:r>
        <w:rPr>
          <w:rFonts w:hint="eastAsia" w:hAnsi="宋体" w:cs="宋体"/>
          <w:bCs/>
          <w:color w:val="auto"/>
          <w:sz w:val="24"/>
          <w:szCs w:val="24"/>
        </w:rPr>
        <w:t xml:space="preserve"> 联系电话：0572-2199129</w:t>
      </w:r>
    </w:p>
    <w:p>
      <w:pPr>
        <w:pStyle w:val="16"/>
        <w:keepNext w:val="0"/>
        <w:keepLines w:val="0"/>
        <w:pageBreakBefore w:val="0"/>
        <w:kinsoku/>
        <w:wordWrap/>
        <w:overflowPunct/>
        <w:topLinePunct w:val="0"/>
        <w:autoSpaceDE/>
        <w:autoSpaceDN/>
        <w:bidi w:val="0"/>
        <w:adjustRightInd/>
        <w:spacing w:line="420" w:lineRule="exact"/>
        <w:ind w:firstLine="480" w:firstLineChars="200"/>
        <w:textAlignment w:val="auto"/>
        <w:rPr>
          <w:rFonts w:hint="eastAsia" w:hAnsi="宋体" w:cs="宋体"/>
          <w:bCs/>
          <w:color w:val="auto"/>
          <w:sz w:val="24"/>
          <w:szCs w:val="24"/>
        </w:rPr>
      </w:pPr>
      <w:r>
        <w:rPr>
          <w:rFonts w:hint="eastAsia" w:hAnsi="宋体" w:cs="宋体"/>
          <w:bCs/>
          <w:color w:val="auto"/>
          <w:sz w:val="24"/>
          <w:szCs w:val="24"/>
        </w:rPr>
        <w:t>3、同级政府采购监督管理部门名称：</w:t>
      </w:r>
    </w:p>
    <w:p>
      <w:pPr>
        <w:pStyle w:val="16"/>
        <w:keepNext w:val="0"/>
        <w:keepLines w:val="0"/>
        <w:pageBreakBefore w:val="0"/>
        <w:kinsoku/>
        <w:wordWrap/>
        <w:overflowPunct/>
        <w:topLinePunct w:val="0"/>
        <w:autoSpaceDE/>
        <w:autoSpaceDN/>
        <w:bidi w:val="0"/>
        <w:adjustRightInd/>
        <w:spacing w:line="420" w:lineRule="exact"/>
        <w:ind w:left="0" w:leftChars="0" w:firstLine="480" w:firstLineChars="200"/>
        <w:textAlignment w:val="auto"/>
        <w:rPr>
          <w:rFonts w:hint="eastAsia" w:hAnsi="宋体" w:eastAsia="宋体" w:cs="宋体"/>
          <w:bCs/>
          <w:color w:val="auto"/>
          <w:sz w:val="24"/>
          <w:szCs w:val="24"/>
          <w:lang w:eastAsia="zh-CN"/>
        </w:rPr>
      </w:pPr>
      <w:r>
        <w:rPr>
          <w:rFonts w:hint="eastAsia" w:hAnsi="宋体" w:cs="宋体"/>
          <w:bCs/>
          <w:color w:val="auto"/>
          <w:sz w:val="24"/>
          <w:szCs w:val="24"/>
        </w:rPr>
        <w:t>湖州市吴兴区财政局</w:t>
      </w:r>
      <w:r>
        <w:rPr>
          <w:rFonts w:hint="eastAsia" w:hAnsi="宋体" w:cs="宋体"/>
          <w:bCs/>
          <w:color w:val="auto"/>
          <w:sz w:val="24"/>
          <w:szCs w:val="24"/>
          <w:lang w:val="en-US" w:eastAsia="zh-CN"/>
        </w:rPr>
        <w:t xml:space="preserve"> </w:t>
      </w:r>
      <w:r>
        <w:rPr>
          <w:rFonts w:hint="eastAsia" w:hAnsi="宋体" w:cs="宋体"/>
          <w:bCs/>
          <w:color w:val="auto"/>
          <w:sz w:val="24"/>
          <w:szCs w:val="24"/>
        </w:rPr>
        <w:t>  </w:t>
      </w:r>
      <w:r>
        <w:rPr>
          <w:rFonts w:hint="eastAsia" w:hAnsi="宋体" w:cs="宋体"/>
          <w:bCs/>
          <w:color w:val="auto"/>
          <w:sz w:val="24"/>
          <w:szCs w:val="24"/>
          <w:lang w:val="en-US" w:eastAsia="zh-CN"/>
        </w:rPr>
        <w:t xml:space="preserve"> </w:t>
      </w:r>
      <w:r>
        <w:rPr>
          <w:rFonts w:hint="eastAsia" w:hAnsi="宋体" w:cs="宋体"/>
          <w:bCs/>
          <w:color w:val="auto"/>
          <w:sz w:val="24"/>
          <w:szCs w:val="24"/>
        </w:rPr>
        <w:t>联系电话：0572-228970</w:t>
      </w:r>
      <w:r>
        <w:rPr>
          <w:rFonts w:hint="eastAsia" w:hAnsi="宋体" w:cs="宋体"/>
          <w:bCs/>
          <w:color w:val="auto"/>
          <w:sz w:val="24"/>
          <w:szCs w:val="24"/>
          <w:lang w:val="en-US" w:eastAsia="zh-CN"/>
        </w:rPr>
        <w:t>0</w:t>
      </w:r>
    </w:p>
    <w:p>
      <w:pPr>
        <w:pStyle w:val="16"/>
        <w:keepNext w:val="0"/>
        <w:keepLines w:val="0"/>
        <w:pageBreakBefore w:val="0"/>
        <w:kinsoku/>
        <w:wordWrap/>
        <w:overflowPunct/>
        <w:topLinePunct w:val="0"/>
        <w:autoSpaceDE/>
        <w:autoSpaceDN/>
        <w:bidi w:val="0"/>
        <w:adjustRightInd/>
        <w:spacing w:line="420" w:lineRule="exact"/>
        <w:ind w:left="0" w:leftChars="0" w:firstLine="480" w:firstLineChars="200"/>
        <w:textAlignment w:val="auto"/>
        <w:rPr>
          <w:rFonts w:hint="default" w:hAnsi="宋体" w:eastAsia="宋体" w:cs="宋体"/>
          <w:bCs/>
          <w:color w:val="auto"/>
          <w:sz w:val="24"/>
          <w:szCs w:val="24"/>
          <w:lang w:val="en-US" w:eastAsia="zh-CN"/>
        </w:rPr>
      </w:pPr>
      <w:r>
        <w:rPr>
          <w:rFonts w:hint="eastAsia" w:hAnsi="宋体" w:cs="宋体"/>
          <w:bCs/>
          <w:color w:val="auto"/>
          <w:sz w:val="24"/>
          <w:szCs w:val="24"/>
          <w:lang w:val="en-US" w:eastAsia="zh-CN"/>
        </w:rPr>
        <w:t>联系人：沈超</w:t>
      </w:r>
    </w:p>
    <w:p>
      <w:pPr>
        <w:pStyle w:val="16"/>
        <w:keepNext w:val="0"/>
        <w:keepLines w:val="0"/>
        <w:pageBreakBefore w:val="0"/>
        <w:kinsoku/>
        <w:wordWrap/>
        <w:overflowPunct/>
        <w:topLinePunct w:val="0"/>
        <w:autoSpaceDE/>
        <w:autoSpaceDN/>
        <w:bidi w:val="0"/>
        <w:adjustRightInd/>
        <w:spacing w:line="420" w:lineRule="exact"/>
        <w:ind w:left="0" w:leftChars="0" w:firstLine="480" w:firstLineChars="200"/>
        <w:textAlignment w:val="auto"/>
        <w:rPr>
          <w:rFonts w:hint="eastAsia" w:hAnsi="宋体" w:cs="宋体"/>
          <w:color w:val="auto"/>
          <w:sz w:val="24"/>
          <w:szCs w:val="24"/>
        </w:rPr>
      </w:pPr>
      <w:r>
        <w:rPr>
          <w:rFonts w:hint="eastAsia" w:hAnsi="宋体" w:cs="宋体"/>
          <w:bCs/>
          <w:color w:val="auto"/>
          <w:sz w:val="24"/>
          <w:szCs w:val="24"/>
          <w:lang w:val="en-US" w:eastAsia="zh-CN"/>
        </w:rPr>
        <w:t>地址：</w:t>
      </w:r>
      <w:r>
        <w:rPr>
          <w:rFonts w:hint="eastAsia" w:hAnsi="宋体" w:cs="宋体"/>
          <w:bCs/>
          <w:color w:val="auto"/>
          <w:sz w:val="24"/>
          <w:szCs w:val="24"/>
        </w:rPr>
        <w:t>湖州市吴兴区吴兴大道1号</w:t>
      </w:r>
      <w:r>
        <w:rPr>
          <w:rFonts w:hint="eastAsia" w:hAnsi="宋体" w:cs="宋体"/>
          <w:color w:val="auto"/>
          <w:sz w:val="24"/>
          <w:szCs w:val="24"/>
        </w:rPr>
        <w:t xml:space="preserve">   </w:t>
      </w:r>
    </w:p>
    <w:p>
      <w:pPr>
        <w:keepNext w:val="0"/>
        <w:keepLines w:val="0"/>
        <w:pageBreakBefore w:val="0"/>
        <w:kinsoku/>
        <w:wordWrap/>
        <w:overflowPunct/>
        <w:topLinePunct w:val="0"/>
        <w:autoSpaceDE/>
        <w:autoSpaceDN/>
        <w:bidi w:val="0"/>
        <w:spacing w:line="420" w:lineRule="exact"/>
        <w:ind w:firstLine="200"/>
        <w:jc w:val="right"/>
        <w:textAlignment w:val="auto"/>
        <w:rPr>
          <w:rFonts w:hint="eastAsia" w:ascii="宋体" w:hAnsi="宋体" w:cs="宋体"/>
          <w:sz w:val="24"/>
        </w:rPr>
      </w:pPr>
      <w:r>
        <w:rPr>
          <w:rFonts w:hint="eastAsia" w:ascii="宋体" w:hAnsi="宋体" w:cs="宋体"/>
          <w:sz w:val="24"/>
        </w:rPr>
        <w:t xml:space="preserve">                               浙江恒盛工程咨询有限公司</w:t>
      </w:r>
    </w:p>
    <w:p>
      <w:pPr>
        <w:pStyle w:val="31"/>
        <w:keepNext w:val="0"/>
        <w:keepLines w:val="0"/>
        <w:pageBreakBefore w:val="0"/>
        <w:kinsoku/>
        <w:wordWrap/>
        <w:overflowPunct/>
        <w:topLinePunct w:val="0"/>
        <w:autoSpaceDE/>
        <w:autoSpaceDN/>
        <w:bidi w:val="0"/>
        <w:spacing w:line="420" w:lineRule="exact"/>
        <w:ind w:firstLine="480" w:firstLineChars="200"/>
        <w:jc w:val="right"/>
        <w:textAlignment w:val="auto"/>
        <w:rPr>
          <w:rFonts w:hint="eastAsia"/>
        </w:rPr>
      </w:pPr>
      <w:r>
        <w:rPr>
          <w:rFonts w:hint="eastAsia" w:hAnsi="宋体" w:cs="宋体"/>
          <w:sz w:val="24"/>
          <w:szCs w:val="24"/>
        </w:rPr>
        <w:t xml:space="preserve">                                        </w:t>
      </w:r>
      <w:r>
        <w:rPr>
          <w:rFonts w:hint="eastAsia" w:hAnsi="宋体" w:cs="宋体"/>
          <w:b/>
          <w:color w:val="0000FF"/>
          <w:sz w:val="24"/>
          <w:szCs w:val="24"/>
        </w:rPr>
        <w:t xml:space="preserve"> </w:t>
      </w:r>
      <w:r>
        <w:rPr>
          <w:rFonts w:hint="eastAsia" w:hAnsi="宋体" w:cs="宋体"/>
          <w:color w:val="0000FF"/>
          <w:sz w:val="24"/>
          <w:szCs w:val="24"/>
          <w:lang w:eastAsia="zh-CN"/>
        </w:rPr>
        <w:t>2024</w:t>
      </w:r>
      <w:r>
        <w:rPr>
          <w:rFonts w:hint="eastAsia" w:hAnsi="宋体" w:cs="宋体"/>
          <w:color w:val="0000FF"/>
          <w:sz w:val="24"/>
          <w:szCs w:val="24"/>
        </w:rPr>
        <w:t>年</w:t>
      </w:r>
      <w:r>
        <w:rPr>
          <w:rFonts w:hint="eastAsia" w:hAnsi="宋体" w:cs="宋体"/>
          <w:color w:val="0000FF"/>
          <w:sz w:val="24"/>
          <w:szCs w:val="24"/>
          <w:lang w:val="en-US" w:eastAsia="zh-CN"/>
        </w:rPr>
        <w:t>4</w:t>
      </w:r>
      <w:r>
        <w:rPr>
          <w:rFonts w:hint="eastAsia" w:hAnsi="宋体" w:cs="宋体"/>
          <w:color w:val="0000FF"/>
          <w:sz w:val="24"/>
          <w:szCs w:val="24"/>
        </w:rPr>
        <w:t>月</w:t>
      </w:r>
      <w:r>
        <w:rPr>
          <w:rFonts w:hint="eastAsia" w:hAnsi="宋体" w:cs="宋体"/>
          <w:color w:val="0000FF"/>
          <w:sz w:val="24"/>
          <w:szCs w:val="24"/>
          <w:lang w:val="en-US" w:eastAsia="zh-CN"/>
        </w:rPr>
        <w:t>30</w:t>
      </w:r>
      <w:r>
        <w:rPr>
          <w:rFonts w:hint="eastAsia" w:hAnsi="宋体" w:cs="宋体"/>
          <w:color w:val="0000FF"/>
          <w:sz w:val="24"/>
          <w:szCs w:val="24"/>
        </w:rPr>
        <w:t>日</w:t>
      </w:r>
    </w:p>
    <w:p>
      <w:pPr>
        <w:spacing w:line="360" w:lineRule="auto"/>
        <w:jc w:val="center"/>
        <w:outlineLvl w:val="0"/>
        <w:rPr>
          <w:rFonts w:hint="eastAsia" w:ascii="宋体" w:hAnsi="宋体" w:cs="宋体"/>
          <w:b/>
          <w:sz w:val="36"/>
          <w:szCs w:val="36"/>
        </w:rPr>
        <w:sectPr>
          <w:headerReference r:id="rId4" w:type="first"/>
          <w:footerReference r:id="rId7" w:type="first"/>
          <w:headerReference r:id="rId3" w:type="default"/>
          <w:footerReference r:id="rId5" w:type="default"/>
          <w:footerReference r:id="rId6" w:type="even"/>
          <w:pgSz w:w="11907" w:h="16840"/>
          <w:pgMar w:top="1474" w:right="1814" w:bottom="1474" w:left="1814" w:header="851" w:footer="992" w:gutter="0"/>
          <w:cols w:space="720" w:num="1"/>
          <w:docGrid w:linePitch="312" w:charSpace="0"/>
        </w:sectPr>
      </w:pPr>
    </w:p>
    <w:p>
      <w:pPr>
        <w:spacing w:line="360" w:lineRule="auto"/>
        <w:jc w:val="center"/>
        <w:outlineLvl w:val="0"/>
        <w:rPr>
          <w:rFonts w:hint="eastAsia"/>
        </w:rPr>
      </w:pPr>
      <w:r>
        <w:rPr>
          <w:rFonts w:hint="eastAsia" w:ascii="宋体" w:hAnsi="宋体" w:cs="宋体"/>
          <w:b/>
          <w:sz w:val="36"/>
          <w:szCs w:val="36"/>
        </w:rPr>
        <w:t>第二部分  采购需求</w:t>
      </w:r>
    </w:p>
    <w:p>
      <w:pPr>
        <w:pStyle w:val="2"/>
        <w:numPr>
          <w:ilvl w:val="0"/>
          <w:numId w:val="0"/>
        </w:numPr>
        <w:spacing w:before="0" w:after="0" w:line="240" w:lineRule="auto"/>
        <w:rPr>
          <w:rFonts w:hint="eastAsia" w:ascii="宋体" w:hAnsi="宋体" w:cs="宋体"/>
          <w:sz w:val="24"/>
          <w:szCs w:val="24"/>
        </w:rPr>
      </w:pPr>
      <w:r>
        <w:rPr>
          <w:rFonts w:hint="eastAsia" w:ascii="宋体" w:hAnsi="宋体" w:cs="宋体"/>
          <w:sz w:val="24"/>
          <w:szCs w:val="24"/>
        </w:rPr>
        <w:t>一、采购内容清单</w:t>
      </w:r>
    </w:p>
    <w:tbl>
      <w:tblPr>
        <w:tblStyle w:val="60"/>
        <w:tblW w:w="8977"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9"/>
        <w:gridCol w:w="1314"/>
        <w:gridCol w:w="5416"/>
        <w:gridCol w:w="750"/>
        <w:gridCol w:w="7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 w:hRule="atLeast"/>
        </w:trPr>
        <w:tc>
          <w:tcPr>
            <w:tcW w:w="70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314"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5416"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rPr>
              <w:t>规格参数</w:t>
            </w:r>
          </w:p>
        </w:tc>
        <w:tc>
          <w:tcPr>
            <w:tcW w:w="75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8977" w:type="dxa"/>
            <w:gridSpan w:val="5"/>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eastAsia="zh-CN"/>
              </w:rPr>
            </w:pPr>
            <w:r>
              <w:rPr>
                <w:rFonts w:hint="eastAsia" w:ascii="宋体" w:hAnsi="宋体" w:eastAsia="宋体" w:cs="宋体"/>
                <w:b/>
                <w:bCs/>
                <w:i w:val="0"/>
                <w:iCs w:val="0"/>
                <w:color w:val="000000"/>
                <w:sz w:val="20"/>
                <w:szCs w:val="20"/>
                <w:u w:val="none"/>
                <w:lang w:val="en-US" w:eastAsia="zh-CN"/>
              </w:rPr>
              <w:t>一、美术教室部分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0"/>
                <w:szCs w:val="20"/>
                <w:u w:val="none"/>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0"/>
                <w:szCs w:val="20"/>
                <w:u w:val="none"/>
              </w:rPr>
            </w:pP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lang w:val="en-US" w:eastAsia="zh-CN"/>
              </w:rPr>
              <w:t>基础设备</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5"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移动讲台</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1.尺寸：1500*600*1012mm±10mm；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2.材质：抗倍特板/钢板；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桌面尺寸：1450*600*12mm，采用抗倍特一体成型。耐80度以上高温。防水：浸水24小时后的膨胀指数不多于0.1mm，面板四周采CNC修边，四周倒角，圆润光滑无任何毛边。柜体尺寸:500*520*920mm,板厚0.8mm,柜体采用三维立体激光微缝切割，柜体一体成型，箱体精密度和牢固度强，经高温粉体烤漆，长时间使用也不会产生表面漆剥落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4.功能：（1）可倾斜方便操作。</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13"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梯形组合桌</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规格：900*450*750mm±10mm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面材：采用E0级三聚氰胺饰面刨花板,经防潮、 防腐、 防虫处理,甲醛释放量≤0.5mg/L，达到GB18580-2001的测试标准；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封边：PVC封边，封边严密、平整，整块板材严丝合缝，不允许脱胶及表面胶渍；                                                                                                                                                                                （3） 配件：</w:t>
            </w:r>
            <w:r>
              <w:rPr>
                <w:rFonts w:hint="eastAsia" w:ascii="宋体" w:hAnsi="宋体" w:cs="宋体"/>
                <w:i w:val="0"/>
                <w:iCs w:val="0"/>
                <w:color w:val="000000"/>
                <w:kern w:val="0"/>
                <w:sz w:val="18"/>
                <w:szCs w:val="18"/>
                <w:u w:val="none"/>
                <w:lang w:val="en-US" w:eastAsia="zh-CN" w:bidi="ar"/>
              </w:rPr>
              <w:t>优</w:t>
            </w:r>
            <w:r>
              <w:rPr>
                <w:rFonts w:hint="eastAsia" w:ascii="宋体" w:hAnsi="宋体" w:eastAsia="宋体" w:cs="宋体"/>
                <w:i w:val="0"/>
                <w:iCs w:val="0"/>
                <w:color w:val="000000"/>
                <w:kern w:val="0"/>
                <w:sz w:val="18"/>
                <w:szCs w:val="18"/>
                <w:u w:val="none"/>
                <w:lang w:val="en-US" w:eastAsia="zh-CN" w:bidi="ar"/>
              </w:rPr>
              <w:t>质五金配件                                                                                                                                                                                                （4） 钢脚：工艺符合JIS G3313 SECC标准，表面经酸洗、表调、磷化、水洗等防锈防腐前处理；静电喷涂，美观大方；</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2"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美术凳</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凳子为单腿固定高度，凳面尺寸：400*300*20mm±2mm.凳面材质采用ABS耐冲击塑料一体射出成型。凳架落地钢管规格为30mm±1mm*60mm±1mm×厚1.5mm,单腿立柱规格为25mm±1mm×50mm±1mm×厚1.5mm,凳子面板支撑材料为20mm±1mm×20mm±1mm×厚1.5mm钢管，凳子固定高度为420mm；脚垫材质：采用纤维质塑料一体射出而成，并用1支钢板螺丝锁附,脚垫底部带M12螺丝调节件，材质为塑料尼龙一次注塑成型。</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2"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展示柜</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1.1.尺寸：板式：W1200*D350*H900mm±10mm；                                     2.材质：颗粒板；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3.工艺：采用国家标准E1级板，厚度18mm,基材采用优质颗粒板，面贴优质三聚氰胺纸，PVC直封边制作。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4.功能：配置收纳，可收纳各种教学用具。</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3"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洞洞板</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1.尺寸：板式：W600*D16*H900mm±10mm；                                 2.材质：松木；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3.工艺：采用国家标准优质松木板，厚度16mm，含12mm实木隔板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4.功能：配置收纳，可收纳各种教学用具。</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2" w:hRule="atLeast"/>
        </w:trPr>
        <w:tc>
          <w:tcPr>
            <w:tcW w:w="709"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14"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5416"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▲处理器：≥Intel i5-1235U</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▲内存：≥16GB DDR4-3200，不少于2个独立内存插槽，DDR4-3200内存，最大支持64GB双内存插槽</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▲硬盘：≥512G SSD固态硬盘 最大支持1TB SSD 硬盘存储；支持双SSD硬盘</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显卡：集成显卡</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摄像头：720p HD RGB 88°广角摄像头；</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输入设备：可调背光全尺寸防泼溅，耐磨键盘；</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网络设备：主板集成1000M自适应以太网卡；支持Intel Wi-Fi 6E (802.11ax 2x2）+ BT5.2 无线网卡</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电池：3芯42 Whr长寿命电池，1000次全设计寿命，在1000次充放后仍然保持大于65%容量</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屏幕：14寸，IPS 1920*1080 250尼特全高清防眩光屏幕;</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端口： 1个雷电4 Type  C 接口，3个USB 3.2 Gen1，1个HDMI 接口，1个RJ-45，1个交流电源接口</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机身：全金属机身（A/C/D）支持180度开合；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尺寸：厚度≤19.9mm</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重量：≤1.37KG</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操作系统：出厂预装正版windows 11操作系统</w:t>
            </w:r>
          </w:p>
        </w:tc>
        <w:tc>
          <w:tcPr>
            <w:tcW w:w="75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8"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 w:hRule="atLeast"/>
        </w:trPr>
        <w:tc>
          <w:tcPr>
            <w:tcW w:w="709"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1314"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微单相机</w:t>
            </w:r>
          </w:p>
        </w:tc>
        <w:tc>
          <w:tcPr>
            <w:tcW w:w="541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1.视频拍摄能力：</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4K  30P                                                                   2.液晶屏像素：</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162万                                                                                 3.像素：2000-3000万                                                                         4.类型：专业                                                                                              5.滤镜直径：</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49mm                                                                             6.RAW照片输出：</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14bit                                                                      7.镜头卡口：RF卡口                                                                           8.有效像素:</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2420万                                                                             9. 液晶屏像素:</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162万                                                                          10.  高清摄像:4K超高清视                                                                  11.液晶屏类型：</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3英寸侧翻触摸屏                                                                     12.视频采样：4:2:2</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13.传感器尺寸：APS-C                                                                        14.镜头：支持自动对焦，焦距为24-105MM，与相机同一品牌                                                                                                                                          </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15.配件包含：原装77UV镜+256GSD/200MB卡+原装包+原装电池+相机三脚架+手持稳定器</w:t>
            </w:r>
          </w:p>
        </w:tc>
        <w:tc>
          <w:tcPr>
            <w:tcW w:w="75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照片打印机</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打印方式：支持电脑USB打印、手机、平板无线连接打印。</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打印技术：热升华打印</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打印分辨率：</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300 x300 dpi</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打印色阶数：256 级每色</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打印速度：约1分钟/页</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纸盒容量20 张相纸</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支持文件格式JPEG、PNG</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空调</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三匹立式空调，包安装及辅材</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仪器设备</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8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画架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高度不低于142cm</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画板</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不小于60cm×45cm</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泥工工具</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泥塑刀6把、环形刀3把、刮刀2把、切割线1套、刮板1件、拍板1件、型板1块、喷壶1个、海绵1块、云台1个</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篆刻工具</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篆刻刀、印床、章料、印泥、砂纸</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美工工具</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小剪刀、美工刀、A3切割垫板、刻纸刀、直尺、卷笔刀</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学生绘画工具</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毛笔8支：加健毛笔，大中小白云各一支，大中小提斗各1支，花枝俏、小依纹各1支。水粉笔1-12#各1支，油画笔1-12#各1支，调色盒1件，24格，调色板1件</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折叠水桶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2000ml， 可折叠</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绘图工具</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圆规、直尺、三角板、曲线板</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版画工具</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637"/>
                <w:rFonts w:hint="eastAsia" w:ascii="宋体" w:hAnsi="宋体" w:eastAsia="宋体" w:cs="宋体"/>
                <w:lang w:val="en-US" w:eastAsia="zh-CN" w:bidi="ar"/>
              </w:rPr>
              <w:t>木刻刀5把、笔刀1把、笔刀片3件、</w:t>
            </w:r>
            <w:r>
              <w:rPr>
                <w:rStyle w:val="638"/>
                <w:rFonts w:hint="eastAsia" w:ascii="宋体" w:hAnsi="宋体" w:eastAsia="宋体" w:cs="宋体"/>
                <w:lang w:val="en-US" w:eastAsia="zh-CN" w:bidi="ar"/>
              </w:rPr>
              <w:t xml:space="preserve"> </w:t>
            </w:r>
            <w:r>
              <w:rPr>
                <w:rStyle w:val="637"/>
                <w:rFonts w:hint="eastAsia" w:ascii="宋体" w:hAnsi="宋体" w:eastAsia="宋体" w:cs="宋体"/>
                <w:lang w:val="en-US" w:eastAsia="zh-CN" w:bidi="ar"/>
              </w:rPr>
              <w:t>电烙铁1把、木蘑托1只、马莲1个、胶滚1件、油石1件、刮刀2把、6B绘图铅笔2支</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彩铅画笔</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24色彩铅笔一套</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油彩棒</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24色重彩油画棒一套</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水彩笔</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24色水彩笔一套</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画纸</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160g，4k水彩画纸、水粉纸和素描纸各一袋，每袋20张</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宣纸</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四尺 半生熟宣纸 （1刀100张）</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学生墨汁</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墨汁</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180ml/瓶</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手工耗材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双面胶1卷，美纹胶带1个，固体胶1支，大红色剪纸练习纸1包（50张/包），10色彩纸1份，卡纸2张，白板纸2张，布料2块等</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水彩画颜料</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水彩颜料24色</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12ml/支</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水粉颜料</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水粉颜料24色</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12ml/支</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版画耗材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雪弗板2张、吹塑纸2张、白板纸2张、硫酸纸2张、橡皮图章、海绵纸2张、水性油墨60ml(黑、大红、湖蓝、柠檬黄、 白色)、油画棒12色、调墨板、 印纸2张、生宣纸2张等。</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彩泥</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12色超轻粘土一套</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陶泥</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500g普白瓷泥，软硬适中，健康安全，无毒无铅，好用易塑</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709"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314"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印染材料包</w:t>
            </w:r>
          </w:p>
        </w:tc>
        <w:tc>
          <w:tcPr>
            <w:tcW w:w="5416"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靛青染料100ml、一次性食品级纸盘</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1000ml，染布</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540*540mm高密包边、一次性手套2付、皮筋10根、小木夹4个、小木棍4个</w:t>
            </w:r>
          </w:p>
        </w:tc>
        <w:tc>
          <w:tcPr>
            <w:tcW w:w="75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788"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 w:hRule="atLeast"/>
        </w:trPr>
        <w:tc>
          <w:tcPr>
            <w:tcW w:w="709"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w:t>
            </w:r>
          </w:p>
        </w:tc>
        <w:tc>
          <w:tcPr>
            <w:tcW w:w="1314"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书写毛毡</w:t>
            </w:r>
          </w:p>
        </w:tc>
        <w:tc>
          <w:tcPr>
            <w:tcW w:w="5416"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1200*800mm±10mm，学生桌用，厚度：加厚，材质：优质化纤，不掉毛、不气球、吸水、吸墨效果极好</w:t>
            </w:r>
          </w:p>
        </w:tc>
        <w:tc>
          <w:tcPr>
            <w:tcW w:w="750"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788"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 w:hRule="atLeast"/>
        </w:trPr>
        <w:tc>
          <w:tcPr>
            <w:tcW w:w="709"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w:t>
            </w:r>
          </w:p>
        </w:tc>
        <w:tc>
          <w:tcPr>
            <w:tcW w:w="1314"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国画颜料</w:t>
            </w:r>
          </w:p>
        </w:tc>
        <w:tc>
          <w:tcPr>
            <w:tcW w:w="541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技术要求：常用12色：钛色、藤黄、硃磦、硃砂、胭脂、曙红、赭石、三绿、三青、酞青蓝、花青等，或根据需要自行选择颜色，每瓶</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12ml。</w:t>
            </w:r>
          </w:p>
        </w:tc>
        <w:tc>
          <w:tcPr>
            <w:tcW w:w="75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788"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4"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云课堂微录仪</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一、硬件技术参数：</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1.像素：</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800万（分辨率3264*2448）；</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2.对焦方式：自动对焦</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3.帧数：</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无线720P和1080P不低于25帧/秒；</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4.最大拍摄幅面：最大拍摄幅面A2，最短拍摄距离8cm</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★5.万向软管式设计，任意方向可调。可以拍摄超大A2幅面(拍摄大场面实训，创客场景），也可以微距显示（拍摄清楚线路板IC型号）（需提供体现此参数的证明材料，如功能截图、产品彩页、技术资料等）</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★6.插拔式底座双用，底座和机身可分离，分离后产品可以夹于桌边。（需提供体现此参数的证明材料，如功能截图、产品彩页、技术资料等）</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7.图片格式BMP,JPG,PNG,GIF,TIF，视频格式MP4</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★8.连接方式：支持无线5G传输</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9.光源：触摸式三级补光灯</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二、软件功能参数：</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1.支持笔记本、台式机、平板电脑、智能手机、一体机、电子白板同时无线接入观看实物展示；同时连接设备数量不低于5个，无线传输距离可达50米。</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2.提供对比教学和实物展示功能，支持2、4、6、8画面同屏展示进行对比教学。</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3.支持自动对焦，聚焦时间短，画面稳定、更清晰。</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4.支持一体机或电脑使用本软件时，不影响一体机或电脑与外部网络连接。</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支持Windows、MACOS系统使用，其中MACOS运行的教学软件支持实时视频展示、图片任意角度旋转、图片缩放、图片拍照、实时音视频录制等教学功能。（需提供体现此参数的证明材料，如功能截图、产品彩页、技术资料等）</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6.支持与安卓、苹果手机和安卓平板相连，可同步拍摄教学资料、试卷和实物，录制教学视频与微课。</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7.支持电子白板讲解批注功能，可以画线、手写、黑板擦可鼠标滚动缩放。可以随时拍照、录像，对展示和批注内容保存。</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★8.支持电脑屏幕、实物展示的视频录制,支持一键切换桌面和实物展示画面录制成同一个MP4视频文件。</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★9.无线支持多场景微课录制，包括实物展示、分屏对比、电脑屏幕、PPT等内容一次录制成同一个MP4格式的视频文件，无须二次转换格式。（需提供体现此参数的证明材料，如功能截图、产品彩页、技术资料等）</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10.微课录制支持录制、暂停、继续录制、停止等操作。</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★11.双软件：含互动教学软件和微课宝软件。</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★12.支持微课云平台功能，可以直接在软件端登入平台，支持微课上传、下载和在线观看。</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13.支持微课编辑功能：可以对录制的微课添加片头、片尾、水印、字幕等；</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可以对微课任意位置的视频剪切，且剪切后的画面可恢复。也可以对微课任意位置的音频配音，且配音后原音频可恢复。对编辑后微课一键生成视频文档。（需提供体现此参数的证明材料，如功能截图、产品彩页、技术资料等）</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★15.支持微课录制完成后，可根据微课语音中的普通话转化成声音同步的字幕。（需提供体现此参数的证明材料，如功能截图、产品彩页、技术资料等）</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★16.支持片头、片尾和水印模板自定义管理，支持片头、片尾、水印自定义文字大小、颜色、透明度，并可通过拖动鼠标来改变文字位置。自定义的模板可自动显示在视频编辑模块中。</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17.支持内容分类管理，系统自动按照图片、微课、微课模板、文摘、视频等分类存档，视频按生成的日期自动归档，可以对图片、视频分类查看，视频可在类目下按日期查看，方便文件管理和查找。</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2"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数字写生与作品临摹系统</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1.提供数字写生与作品临摹两大板块，写生素材不少于1000张，临摹作品数量不少于1500张；</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2.数字写生提供风景的写生功能，支持选择不同场景、不同角度和不同天气的写生素材供学生写生；</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数字写生提供静物的写生功能，静物写生素材不少于700张，包含几何体、石膏像、工艺品等多种静物的写生功能，提供不同观察角度、不同光线等写生素材；【投标时，须提供产品功能截图及国家认监委认可的第三方权威机构出具的检测报告对本项要求进行佐证】</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4.数字写生提供人像的写生功能，包括各类特点人像，包括不同角度及光线下的写生素材；</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作品临摹提供不低于10种类别的素材库，包括马克笔、速写、素描、水粉画、油画、水彩画、彩铅画、中国画、版画、壁画等类型作品素材,要求每种类型素材不少于100张；【投标时，须提供产品功能截图及国家认监委认可的第三方权威机构出具的检测报告对本项要求进行佐证】</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6.支持不少于5种图片操作功能，包括自由缩放素材、支持旋转素材角度、支持素材调整饱和度、对比度和亮度；</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7.支持不少于10种辅助线，包括正圆、椭圆、直角三角、等边三角、矩形、正方形、自由曲线、直线、虚线和箭头不同辅助线；</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8.支持九宫格、S型、三角形、三分法等多种构图辅助工具；</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支持对写生素材进行艺术化辅助处理，自动生成素材的素描稿、色块图等，可以帮助学生进行创作和临摹；【投标时，须提供产品功能截图及国家认监委认可的第三方权威机构出具的检测报告对本项要求进行佐证】</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10.支持老师选定写生或临摹素材推送给学生进行创作或临摹；                                                         </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注：投标时，须提供包含有“数字写生”“作品临摹”关键字的软件著作权证书复印件。</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3"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美术教程资源库系统</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1.★提供折纸、手工、贴画等多种类别美术教程【需提供产品功能截图及第三方权威检测机构出具的检测报告复印件】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2.支持美术教程搜索功能；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3.教程内容提供图文和视频介绍，提供教程的文字简介；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4.图文教程支持分步骤查看，支持按照顺序进行上下步骤的切换，支持步骤的跳转切换查看；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5.图文教程每个步骤提供图片介绍和文字介绍；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6.支持将教程推送给学生，学生可自由查看教学步骤；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7.提供教程制作工具，可新建教程，添加介绍、分解步骤等内容；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8.提供单独的个人教程空间，用户可对个人的教程进行单独的查看与管理；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9.教程制作提供自定义教程名称、教程简介和教程封面；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10.教程制作提供步骤编辑功能，可自定义步骤图片、文字介绍，支持步骤的增加、删除操作，支持插入步骤操作；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11.个人教程提供搜索功能，支持根据教程名称进行搜查查询；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12.★支持用户管理创作的美术教程，对教程进行编辑、查看、删除、推送等操作【需提供产品功能截图及第三方权威检测机构出具的检测报告复印件】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13.系统支持教程共享，可查看其他用户制作的教程；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14.提供相关教程推荐功能，根据当前教程内容提供推荐教程，方便用户进行拓展教学与学习；                                               </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54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文化装修布置</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bCs/>
                <w:i w:val="0"/>
                <w:iCs w:val="0"/>
                <w:color w:val="000000"/>
                <w:sz w:val="18"/>
                <w:szCs w:val="18"/>
                <w:u w:val="none"/>
              </w:rPr>
            </w:pPr>
          </w:p>
        </w:tc>
        <w:tc>
          <w:tcPr>
            <w:tcW w:w="78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欧松板基础找平</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9mm E0级欧松板墙面找平基层</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26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40</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毛毡墙面</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品名：吸引毛毡板墙板；材质：优选化纤毛毡；厚度：9MM；特点：环保无异味，防潮不变型</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26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41</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广告雪弗板造型（定制）</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定制符合特色教室的主题造型的环境效果</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42</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石膏板平顶</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按照展开面积算</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76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异性吊顶（圆形倒角）</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按照展开面积算</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25</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44</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定制吸顶灯</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发光颜色：白光；风格：简约现代；颜色分类：白光 30W；电压：111V~240V（含）灯身；主材质：PVC灯罩主；材质：PMMA高透光率灯罩</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20</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顶面批腻子</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作业面补缝、防锈等处理，批腻子找平。</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106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46</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顶面白色乳胶漆</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作业面打磨、除尘等处理，披刮或滚涂两底两面乳胶漆。</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106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47</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灯带</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型号：220v超特亮COB灯带；灯带规格：其它</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控制款式：贴片电压：220V；计价单位：米</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发光颜色： 白色</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30</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地板胶</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地板革类型：多层复合型；计价单位：1㎡；每片宽度(mm)：2000mm</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产地：中国大陆</w:t>
            </w:r>
            <w:r>
              <w:rPr>
                <w:rFonts w:hint="eastAsia" w:ascii="宋体" w:hAnsi="宋体" w:eastAsia="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bidi="ar"/>
              </w:rPr>
              <w:t>功能：耐磨形状：卷材</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材质：PVC厚度：2mm</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101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实木踢脚线</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shd w:val="clear" w:color="auto" w:fill="FFFFFF"/>
              <w:wordWrap w:val="0"/>
              <w:spacing w:line="240" w:lineRule="atLeast"/>
              <w:jc w:val="left"/>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型号：番龙眼纯实木；高度： 6cm；</w:t>
            </w:r>
          </w:p>
          <w:p>
            <w:pPr>
              <w:widowControl/>
              <w:shd w:val="clear" w:color="auto" w:fill="FFFFFF"/>
              <w:wordWrap w:val="0"/>
              <w:spacing w:line="240" w:lineRule="atLeast"/>
              <w:jc w:val="left"/>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长度：2米；产地：中国大陆；</w:t>
            </w:r>
          </w:p>
          <w:p>
            <w:pPr>
              <w:widowControl/>
              <w:shd w:val="clear" w:color="auto" w:fill="FFFFFF"/>
              <w:wordWrap w:val="0"/>
              <w:spacing w:line="240" w:lineRule="atLeas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厚度：12mm</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36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水电项目</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管线、开关、插座等一次性包干</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定制卷帘</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shd w:val="clear" w:color="auto" w:fill="FFFFFF"/>
              <w:wordWrap w:val="0"/>
              <w:spacing w:line="240" w:lineRule="atLeast"/>
              <w:jc w:val="left"/>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功能：透光；材质：涤纶； 风格：简约现代；安装方式：内装；</w:t>
            </w:r>
          </w:p>
          <w:p>
            <w:pPr>
              <w:widowControl/>
              <w:shd w:val="clear" w:color="auto" w:fill="FFFFFF"/>
              <w:wordWrap w:val="0"/>
              <w:spacing w:line="240" w:lineRule="atLeast"/>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工作原理：拉珠；计价单位：平方米；开合方式：上开；</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20</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52</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材料搬运</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101平方</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竣工保洁</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101平方</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8977"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lang w:val="en-US" w:eastAsia="zh-CN"/>
              </w:rPr>
            </w:pPr>
            <w:r>
              <w:rPr>
                <w:rFonts w:hint="eastAsia" w:ascii="宋体" w:hAnsi="宋体" w:eastAsia="宋体" w:cs="宋体"/>
                <w:b/>
                <w:bCs/>
                <w:i w:val="0"/>
                <w:iCs w:val="0"/>
                <w:color w:val="000000"/>
                <w:sz w:val="18"/>
                <w:szCs w:val="18"/>
                <w:u w:val="none"/>
                <w:lang w:val="en-US" w:eastAsia="zh-CN"/>
              </w:rPr>
              <w:t>二、音乐教室部分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规格及技术参数</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3"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升降讲台</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1.尺寸：680*480*680-1000mm±10mm；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2.材质：抗倍特板+钢架；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桌面尺寸680*480*12mm桌面采用抗倍特一体成型。耐80度以上高温。防水：浸水24小时后的膨胀指数不多于0.1mm，面板四周采CNC修边，四周倒角，圆润光滑无任何毛边。桌架尺寸上方铝外罩直径68mm*1mm；下铁管管直径52mm*3mm；下方弧形铁管直径32mm*1.5mm；桌面连接铁皮厚3mm；钢架采用满焊焊接，经高温粉体烤漆，长时间使用也不会产生表面漆剥落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4.功能：桌架内置液压升降装置，只需轻轻一拉，桌面即可随意调整高度，桌架底部可配置轮子，方便推移。</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音乐凳</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设备规格：</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300×245×370mm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材质说明：采用ABS材质，大型模具一体化成像制作，牢固、耐用。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功能：音乐凳的一头带手提部件，学生可以方便提起、移动。</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合唱台阶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1.尺寸：每组三个（三层尺寸2400*600*600±10mm； </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二层尺寸2400*600*400±10mm；一层尺寸2400*600*200±10mm；）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每层台阶款宽600±10mm，高200±10mm；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2.材质：多层实木免漆板；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3.工艺：采用国家标准E1级板，厚度18mm,基材采用优质多层实木板，面贴优质三聚氰胺纸，PVC直封边制作。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4.功能：组合式台阶</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展示柜</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1.尺寸：板式：W1200*D350*H900mm±10mm；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2.材质：颗粒板；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3.工艺：采用国家标准E1级板，厚度18mm,基材采用优质颗粒板，面贴优质三聚氰胺纸，PVC直封边制作。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4.功能：配置收纳，可收纳各种教学用具。</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音箱</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71500" cy="8890"/>
                  <wp:effectExtent l="0" t="0" r="0" b="0"/>
                  <wp:wrapNone/>
                  <wp:docPr id="1" name="图片_44"/>
                  <wp:cNvGraphicFramePr/>
                  <a:graphic xmlns:a="http://schemas.openxmlformats.org/drawingml/2006/main">
                    <a:graphicData uri="http://schemas.openxmlformats.org/drawingml/2006/picture">
                      <pic:pic xmlns:pic="http://schemas.openxmlformats.org/drawingml/2006/picture">
                        <pic:nvPicPr>
                          <pic:cNvPr id="1" name="图片_44"/>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71500" cy="8890"/>
                  <wp:effectExtent l="0" t="0" r="0" b="0"/>
                  <wp:wrapNone/>
                  <wp:docPr id="2" name="图片_44_SpCnt_1"/>
                  <wp:cNvGraphicFramePr/>
                  <a:graphic xmlns:a="http://schemas.openxmlformats.org/drawingml/2006/main">
                    <a:graphicData uri="http://schemas.openxmlformats.org/drawingml/2006/picture">
                      <pic:pic xmlns:pic="http://schemas.openxmlformats.org/drawingml/2006/picture">
                        <pic:nvPicPr>
                          <pic:cNvPr id="2" name="图片_44_SpCnt_1"/>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1500" cy="8890"/>
                  <wp:effectExtent l="0" t="0" r="0" b="0"/>
                  <wp:wrapNone/>
                  <wp:docPr id="3" name="图片_44_SpCnt_2"/>
                  <wp:cNvGraphicFramePr/>
                  <a:graphic xmlns:a="http://schemas.openxmlformats.org/drawingml/2006/main">
                    <a:graphicData uri="http://schemas.openxmlformats.org/drawingml/2006/picture">
                      <pic:pic xmlns:pic="http://schemas.openxmlformats.org/drawingml/2006/picture">
                        <pic:nvPicPr>
                          <pic:cNvPr id="3" name="图片_44_SpCnt_2"/>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571500" cy="8890"/>
                  <wp:effectExtent l="0" t="0" r="0" b="0"/>
                  <wp:wrapNone/>
                  <wp:docPr id="4" name="图片_44_SpCnt_3"/>
                  <wp:cNvGraphicFramePr/>
                  <a:graphic xmlns:a="http://schemas.openxmlformats.org/drawingml/2006/main">
                    <a:graphicData uri="http://schemas.openxmlformats.org/drawingml/2006/picture">
                      <pic:pic xmlns:pic="http://schemas.openxmlformats.org/drawingml/2006/picture">
                        <pic:nvPicPr>
                          <pic:cNvPr id="4" name="图片_44_SpCnt_3"/>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★1、三分频，PPC箱体一次成型音箱，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2、频率响应：65Hz-20kHz(±6dB-10dB)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3、灵敏度： 90dB(±3dB)/1W/1M                                                                                                                                                         4、标称阻抗：8Ω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5、额定功率：100W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6、低音：1x8in(寸)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7、中音：1x4in(寸)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8、高音：1x3in(寸)纸盆高音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9、尺寸：275*255*395MM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10、重量：5kg</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11、颜色：珍珠白/经典黑两个颜色可以选择</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7"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无线话筒功放一体机</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571500" cy="8890"/>
                  <wp:effectExtent l="0" t="0" r="0" b="0"/>
                  <wp:wrapNone/>
                  <wp:docPr id="5" name="图片_44_SpCnt_4"/>
                  <wp:cNvGraphicFramePr/>
                  <a:graphic xmlns:a="http://schemas.openxmlformats.org/drawingml/2006/main">
                    <a:graphicData uri="http://schemas.openxmlformats.org/drawingml/2006/picture">
                      <pic:pic xmlns:pic="http://schemas.openxmlformats.org/drawingml/2006/picture">
                        <pic:nvPicPr>
                          <pic:cNvPr id="5" name="图片_44_SpCnt_4"/>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571500" cy="8890"/>
                  <wp:effectExtent l="0" t="0" r="0" b="0"/>
                  <wp:wrapNone/>
                  <wp:docPr id="6" name="图片_44_SpCnt_5"/>
                  <wp:cNvGraphicFramePr/>
                  <a:graphic xmlns:a="http://schemas.openxmlformats.org/drawingml/2006/main">
                    <a:graphicData uri="http://schemas.openxmlformats.org/drawingml/2006/picture">
                      <pic:pic xmlns:pic="http://schemas.openxmlformats.org/drawingml/2006/picture">
                        <pic:nvPicPr>
                          <pic:cNvPr id="6" name="图片_44_SpCnt_5"/>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571500" cy="8890"/>
                  <wp:effectExtent l="0" t="0" r="0" b="0"/>
                  <wp:wrapNone/>
                  <wp:docPr id="7" name="图片_44_SpCnt_6"/>
                  <wp:cNvGraphicFramePr/>
                  <a:graphic xmlns:a="http://schemas.openxmlformats.org/drawingml/2006/main">
                    <a:graphicData uri="http://schemas.openxmlformats.org/drawingml/2006/picture">
                      <pic:pic xmlns:pic="http://schemas.openxmlformats.org/drawingml/2006/picture">
                        <pic:nvPicPr>
                          <pic:cNvPr id="7" name="图片_44_SpCnt_6"/>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571500" cy="8890"/>
                  <wp:effectExtent l="0" t="0" r="0" b="0"/>
                  <wp:wrapNone/>
                  <wp:docPr id="8" name="图片_44_SpCnt_7"/>
                  <wp:cNvGraphicFramePr/>
                  <a:graphic xmlns:a="http://schemas.openxmlformats.org/drawingml/2006/main">
                    <a:graphicData uri="http://schemas.openxmlformats.org/drawingml/2006/picture">
                      <pic:pic xmlns:pic="http://schemas.openxmlformats.org/drawingml/2006/picture">
                        <pic:nvPicPr>
                          <pic:cNvPr id="8" name="图片_44_SpCnt_7"/>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571500" cy="8890"/>
                  <wp:effectExtent l="0" t="0" r="0" b="0"/>
                  <wp:wrapNone/>
                  <wp:docPr id="9" name="图片_44_SpCnt_8"/>
                  <wp:cNvGraphicFramePr/>
                  <a:graphic xmlns:a="http://schemas.openxmlformats.org/drawingml/2006/main">
                    <a:graphicData uri="http://schemas.openxmlformats.org/drawingml/2006/picture">
                      <pic:pic xmlns:pic="http://schemas.openxmlformats.org/drawingml/2006/picture">
                        <pic:nvPicPr>
                          <pic:cNvPr id="9" name="图片_44_SpCnt_8"/>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571500" cy="8890"/>
                  <wp:effectExtent l="0" t="0" r="0" b="0"/>
                  <wp:wrapNone/>
                  <wp:docPr id="10" name="图片_44_SpCnt_9"/>
                  <wp:cNvGraphicFramePr/>
                  <a:graphic xmlns:a="http://schemas.openxmlformats.org/drawingml/2006/main">
                    <a:graphicData uri="http://schemas.openxmlformats.org/drawingml/2006/picture">
                      <pic:pic xmlns:pic="http://schemas.openxmlformats.org/drawingml/2006/picture">
                        <pic:nvPicPr>
                          <pic:cNvPr id="10" name="图片_44_SpCnt_9"/>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571500" cy="8890"/>
                  <wp:effectExtent l="0" t="0" r="0" b="0"/>
                  <wp:wrapNone/>
                  <wp:docPr id="11" name="图片_44_SpCnt_10"/>
                  <wp:cNvGraphicFramePr/>
                  <a:graphic xmlns:a="http://schemas.openxmlformats.org/drawingml/2006/main">
                    <a:graphicData uri="http://schemas.openxmlformats.org/drawingml/2006/picture">
                      <pic:pic xmlns:pic="http://schemas.openxmlformats.org/drawingml/2006/picture">
                        <pic:nvPicPr>
                          <pic:cNvPr id="11" name="图片_44_SpCnt_10"/>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0528" behindDoc="0" locked="0" layoutInCell="1" allowOverlap="1">
                  <wp:simplePos x="0" y="0"/>
                  <wp:positionH relativeFrom="column">
                    <wp:posOffset>0</wp:posOffset>
                  </wp:positionH>
                  <wp:positionV relativeFrom="paragraph">
                    <wp:posOffset>0</wp:posOffset>
                  </wp:positionV>
                  <wp:extent cx="571500" cy="8890"/>
                  <wp:effectExtent l="0" t="0" r="0" b="0"/>
                  <wp:wrapNone/>
                  <wp:docPr id="12" name="图片_44_SpCnt_11"/>
                  <wp:cNvGraphicFramePr/>
                  <a:graphic xmlns:a="http://schemas.openxmlformats.org/drawingml/2006/main">
                    <a:graphicData uri="http://schemas.openxmlformats.org/drawingml/2006/picture">
                      <pic:pic xmlns:pic="http://schemas.openxmlformats.org/drawingml/2006/picture">
                        <pic:nvPicPr>
                          <pic:cNvPr id="12" name="图片_44_SpCnt_11"/>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1552" behindDoc="0" locked="0" layoutInCell="1" allowOverlap="1">
                  <wp:simplePos x="0" y="0"/>
                  <wp:positionH relativeFrom="column">
                    <wp:posOffset>0</wp:posOffset>
                  </wp:positionH>
                  <wp:positionV relativeFrom="paragraph">
                    <wp:posOffset>0</wp:posOffset>
                  </wp:positionV>
                  <wp:extent cx="571500" cy="8890"/>
                  <wp:effectExtent l="0" t="0" r="0" b="0"/>
                  <wp:wrapNone/>
                  <wp:docPr id="13" name="图片_44_SpCnt_12"/>
                  <wp:cNvGraphicFramePr/>
                  <a:graphic xmlns:a="http://schemas.openxmlformats.org/drawingml/2006/main">
                    <a:graphicData uri="http://schemas.openxmlformats.org/drawingml/2006/picture">
                      <pic:pic xmlns:pic="http://schemas.openxmlformats.org/drawingml/2006/picture">
                        <pic:nvPicPr>
                          <pic:cNvPr id="13" name="图片_44_SpCnt_12"/>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2576" behindDoc="0" locked="0" layoutInCell="1" allowOverlap="1">
                  <wp:simplePos x="0" y="0"/>
                  <wp:positionH relativeFrom="column">
                    <wp:posOffset>0</wp:posOffset>
                  </wp:positionH>
                  <wp:positionV relativeFrom="paragraph">
                    <wp:posOffset>0</wp:posOffset>
                  </wp:positionV>
                  <wp:extent cx="571500" cy="8890"/>
                  <wp:effectExtent l="0" t="0" r="0" b="0"/>
                  <wp:wrapNone/>
                  <wp:docPr id="14" name="图片_44_SpCnt_13"/>
                  <wp:cNvGraphicFramePr/>
                  <a:graphic xmlns:a="http://schemas.openxmlformats.org/drawingml/2006/main">
                    <a:graphicData uri="http://schemas.openxmlformats.org/drawingml/2006/picture">
                      <pic:pic xmlns:pic="http://schemas.openxmlformats.org/drawingml/2006/picture">
                        <pic:nvPicPr>
                          <pic:cNvPr id="14" name="图片_44_SpCnt_13"/>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3600" behindDoc="0" locked="0" layoutInCell="1" allowOverlap="1">
                  <wp:simplePos x="0" y="0"/>
                  <wp:positionH relativeFrom="column">
                    <wp:posOffset>0</wp:posOffset>
                  </wp:positionH>
                  <wp:positionV relativeFrom="paragraph">
                    <wp:posOffset>0</wp:posOffset>
                  </wp:positionV>
                  <wp:extent cx="571500" cy="8890"/>
                  <wp:effectExtent l="0" t="0" r="0" b="0"/>
                  <wp:wrapNone/>
                  <wp:docPr id="15" name="图片_44_SpCnt_14"/>
                  <wp:cNvGraphicFramePr/>
                  <a:graphic xmlns:a="http://schemas.openxmlformats.org/drawingml/2006/main">
                    <a:graphicData uri="http://schemas.openxmlformats.org/drawingml/2006/picture">
                      <pic:pic xmlns:pic="http://schemas.openxmlformats.org/drawingml/2006/picture">
                        <pic:nvPicPr>
                          <pic:cNvPr id="15" name="图片_44_SpCnt_14"/>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4624" behindDoc="0" locked="0" layoutInCell="1" allowOverlap="1">
                  <wp:simplePos x="0" y="0"/>
                  <wp:positionH relativeFrom="column">
                    <wp:posOffset>0</wp:posOffset>
                  </wp:positionH>
                  <wp:positionV relativeFrom="paragraph">
                    <wp:posOffset>0</wp:posOffset>
                  </wp:positionV>
                  <wp:extent cx="571500" cy="0"/>
                  <wp:effectExtent l="0" t="0" r="0" b="0"/>
                  <wp:wrapNone/>
                  <wp:docPr id="16" name="图片_44_SpCnt_15"/>
                  <wp:cNvGraphicFramePr/>
                  <a:graphic xmlns:a="http://schemas.openxmlformats.org/drawingml/2006/main">
                    <a:graphicData uri="http://schemas.openxmlformats.org/drawingml/2006/picture">
                      <pic:pic xmlns:pic="http://schemas.openxmlformats.org/drawingml/2006/picture">
                        <pic:nvPicPr>
                          <pic:cNvPr id="16" name="图片_44_SpCnt_15"/>
                          <pic:cNvPicPr/>
                        </pic:nvPicPr>
                        <pic:blipFill>
                          <a:blip r:embed="rId10"/>
                          <a:stretch>
                            <a:fillRect/>
                          </a:stretch>
                        </pic:blipFill>
                        <pic:spPr>
                          <a:xfrm>
                            <a:off x="0" y="0"/>
                            <a:ext cx="571500" cy="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5648" behindDoc="0" locked="0" layoutInCell="1" allowOverlap="1">
                  <wp:simplePos x="0" y="0"/>
                  <wp:positionH relativeFrom="column">
                    <wp:posOffset>0</wp:posOffset>
                  </wp:positionH>
                  <wp:positionV relativeFrom="paragraph">
                    <wp:posOffset>0</wp:posOffset>
                  </wp:positionV>
                  <wp:extent cx="571500" cy="8890"/>
                  <wp:effectExtent l="0" t="0" r="0" b="0"/>
                  <wp:wrapNone/>
                  <wp:docPr id="17" name="图片_44_SpCnt_16"/>
                  <wp:cNvGraphicFramePr/>
                  <a:graphic xmlns:a="http://schemas.openxmlformats.org/drawingml/2006/main">
                    <a:graphicData uri="http://schemas.openxmlformats.org/drawingml/2006/picture">
                      <pic:pic xmlns:pic="http://schemas.openxmlformats.org/drawingml/2006/picture">
                        <pic:nvPicPr>
                          <pic:cNvPr id="17" name="图片_44_SpCnt_16"/>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6672" behindDoc="0" locked="0" layoutInCell="1" allowOverlap="1">
                  <wp:simplePos x="0" y="0"/>
                  <wp:positionH relativeFrom="column">
                    <wp:posOffset>0</wp:posOffset>
                  </wp:positionH>
                  <wp:positionV relativeFrom="paragraph">
                    <wp:posOffset>0</wp:posOffset>
                  </wp:positionV>
                  <wp:extent cx="571500" cy="8890"/>
                  <wp:effectExtent l="0" t="0" r="0" b="0"/>
                  <wp:wrapNone/>
                  <wp:docPr id="18" name="图片_44_SpCnt_17"/>
                  <wp:cNvGraphicFramePr/>
                  <a:graphic xmlns:a="http://schemas.openxmlformats.org/drawingml/2006/main">
                    <a:graphicData uri="http://schemas.openxmlformats.org/drawingml/2006/picture">
                      <pic:pic xmlns:pic="http://schemas.openxmlformats.org/drawingml/2006/picture">
                        <pic:nvPicPr>
                          <pic:cNvPr id="18" name="图片_44_SpCnt_17"/>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7696" behindDoc="0" locked="0" layoutInCell="1" allowOverlap="1">
                  <wp:simplePos x="0" y="0"/>
                  <wp:positionH relativeFrom="column">
                    <wp:posOffset>0</wp:posOffset>
                  </wp:positionH>
                  <wp:positionV relativeFrom="paragraph">
                    <wp:posOffset>0</wp:posOffset>
                  </wp:positionV>
                  <wp:extent cx="571500" cy="8890"/>
                  <wp:effectExtent l="0" t="0" r="0" b="0"/>
                  <wp:wrapNone/>
                  <wp:docPr id="19" name="图片_44_SpCnt_18"/>
                  <wp:cNvGraphicFramePr/>
                  <a:graphic xmlns:a="http://schemas.openxmlformats.org/drawingml/2006/main">
                    <a:graphicData uri="http://schemas.openxmlformats.org/drawingml/2006/picture">
                      <pic:pic xmlns:pic="http://schemas.openxmlformats.org/drawingml/2006/picture">
                        <pic:nvPicPr>
                          <pic:cNvPr id="19" name="图片_44_SpCnt_18"/>
                          <pic:cNvPicPr/>
                        </pic:nvPicPr>
                        <pic:blipFill>
                          <a:blip r:embed="rId9"/>
                          <a:stretch>
                            <a:fillRect/>
                          </a:stretch>
                        </pic:blipFill>
                        <pic:spPr>
                          <a:xfrm>
                            <a:off x="0" y="0"/>
                            <a:ext cx="571500" cy="889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8720" behindDoc="0" locked="0" layoutInCell="1" allowOverlap="1">
                  <wp:simplePos x="0" y="0"/>
                  <wp:positionH relativeFrom="column">
                    <wp:posOffset>0</wp:posOffset>
                  </wp:positionH>
                  <wp:positionV relativeFrom="paragraph">
                    <wp:posOffset>0</wp:posOffset>
                  </wp:positionV>
                  <wp:extent cx="571500" cy="0"/>
                  <wp:effectExtent l="0" t="0" r="0" b="0"/>
                  <wp:wrapNone/>
                  <wp:docPr id="20" name="图片_44_SpCnt_19"/>
                  <wp:cNvGraphicFramePr/>
                  <a:graphic xmlns:a="http://schemas.openxmlformats.org/drawingml/2006/main">
                    <a:graphicData uri="http://schemas.openxmlformats.org/drawingml/2006/picture">
                      <pic:pic xmlns:pic="http://schemas.openxmlformats.org/drawingml/2006/picture">
                        <pic:nvPicPr>
                          <pic:cNvPr id="20" name="图片_44_SpCnt_19"/>
                          <pic:cNvPicPr/>
                        </pic:nvPicPr>
                        <pic:blipFill>
                          <a:blip r:embed="rId10"/>
                          <a:stretch>
                            <a:fillRect/>
                          </a:stretch>
                        </pic:blipFill>
                        <pic:spPr>
                          <a:xfrm>
                            <a:off x="0" y="0"/>
                            <a:ext cx="571500" cy="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1.具高、中、低音调节旋钮，延时、节拍、回声调节旋钮。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★2.4路话筒输入，话筒插口采用卡侬/直插二合一万能座，方便接入不同类型接头的话筒，每路话筒均具一个隐藏式音量调节旋钮。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3.2组辅助线路输入，方便连接外部音源设备。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4.1组混合音频输出，可连接至其它音频设备。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5.前面板具1个话筒总音量控制旋钮，2个辅助音量控制旋钮。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★6.带+48V幻象供电，一个幻象开关，可打开或关闭4话筒幻象电源功能。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7.双通道信号电平指示灯，实时显示功放工作状态。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8.具噪声门功能，无信号时自动关闭功放输出，降低噪声干扰。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★9.功率放大器部分和双模无线麦接收器一体式设计，内嵌无线话筒主机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10.输出功率：8Ω 2×300W，4Ω 2×500W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11.总谐波失真：2×&lt;0.5%（1KHz，1W，16Ω）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12.频率响应：320Hz-20KHz（±2dB）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13.转换速度：100V/us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14.阻尼系数：&gt;100：1</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15.输出连接：左右通道两组功率输出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16.信噪比：≥71dB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17.动态压限：＜0.05%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18.保护电路：软启动，输入浪涌限制，输出短路、直流、过载保护，主保险丝保护，开关机哑音保护，射频干扰保护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19.面板指示：削波，压限，信号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20.后面板接口：TRS/XLR二合一头×4，XLR×4，莲花×4，输出：莲花×2，2组专用欧姆头输出接口</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4"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电源时序器</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1.内置RS-485接口并支持多设备级联控制，通过PC上位机或中控设备对设备进行设置管理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2.内置1 2 8 6 4智能显示窗，可以实时显示当前电压,日期,时间,通道开关状态等参数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3.8路开关通道输出，每路启动延时和停止延时时间可以自由设置（启动：启动即开，1 - 2 4 0秒，从不开启；停止：停止即关，1 - 2 4 0秒，从不关闭)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4.内置时钟芯片，实时显示当前日期及时间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5.欠压，过压检测保护及报警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6.使用电压：~220V 50Hz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7.电源输出：8路可控，一路直接输出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8.启动延时：启动即开，1到2 4 0秒，从不开启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9.停止延时：停止即关，1到2 4 0秒，从不关闭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10.最大电流：20A@220V 50Hz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11.显示内容：时间，每路状态，电压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12.单路电流：20A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13.保护范围: 欠压170到190伏，过压240到260伏可调</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2"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机柜</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优质冷轧钢板，立柱厚度2.0MM，其它1.0MM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1．标准：符合ANSI/EIA RS-310-D、DIN41491、part1、IEC297-2、DIN41494、part7、GB/T3047、2-92标准,兼容19",23",25"国际标准,公制标准和ETSI标准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1.带透气孔的前门门条和后门，方便通风散热，提高内置设备运行可靠性，如配置有前后网门的机柜通风面积可达到64%</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2.国际流行的烟灰色钢化玻璃前门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3.机柜颜色可选，国际流行电脑灰或黑色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4.可关闭的上部，下部多处走线通道，底部大走线孔尺寸可按需调整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5.可选配安装底座，达到固定机柜，底部过线，底部送冷风，防鼠的要求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7.可方便拆卸的左右侧门和前后门，全方位操作，多方位查看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8.材料：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全部选用SPCC优质冷轧钢板制作，</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线缆附件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1、电源线：3*1.5橡胶护套线/橡套软电缆线，执行标准：必须符合国标1.5平方,CB/T5023.5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2、专业工程护套线：300芯水晶线，黑色 线径：≤9mm 导体采用≥99.99%高纯度OFC无氧铜制造。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3、话筒线：2*0.35平方加屏蔽，材质: 要求采用4N纯无氧铜，。芯线是16根，横截面积2*0.35平方，直流阻抗为69.2欧/km。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4、卡侬头XLR，莲花头RCA，6.35头，3.5头。HDMI头，VGA头，BNC头均选国优。</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7"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音箱支架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1.支架可调角度(0-15)度，可上下调节角度。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2.中间连接杆可伸缩调节。臂长:30cm-36cm。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3.用料扎实，稳定性强。承载重量:单只可30kg。</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4.颜色:黑色,喷塑处理，精美大方 音箱支架方便用户安装使用于各种音箱，它可伸缩拉长、可向上倾斜，摆放音箱的位置，表现更加完美的音响效果。</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7" w:hRule="atLeast"/>
        </w:trPr>
        <w:tc>
          <w:tcPr>
            <w:tcW w:w="709"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314"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5416"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处理器：≥Intel i5-1235U</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内存：≥16GB DDR4-3200，不少于2个独立内存插槽，DDR4-3200内存，最大支持64GB双内存插槽</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硬盘：≥512G SSD固态硬盘 最大支持1TB SSD 硬盘存储；支持双SSD硬盘</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显卡：集成显卡</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摄像头：720p HD RGB 88°广角摄像头；</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输入设备：可调背光全尺寸防泼溅，耐磨键盘；</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网络设备：主板集成1000M自适应以太网卡；支持Intel Wi-Fi 6E (802.11ax 2x2）+ BT5.2 无线网卡</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电池：3芯42 Whr长寿命电池，1000次全设计寿命，在1000次充放后仍然保持大于65%容量</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屏幕：14寸，IPS 1920*1080 250尼特全高清防眩光屏幕;</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端口： 1个雷电4 Type  C 接口，3个USB 3.2 Gen1，1个HDMI 接口，1个RJ-45，1个交流电源接口</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机身：全金属机身（A/C/D）支持180度开合；</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尺寸：厚度≤19.9mm</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重量：≤1.37KG</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操作系统：出厂预装正版windows 11操作系统</w:t>
            </w:r>
          </w:p>
        </w:tc>
        <w:tc>
          <w:tcPr>
            <w:tcW w:w="750"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 w:hRule="atLeast"/>
        </w:trPr>
        <w:tc>
          <w:tcPr>
            <w:tcW w:w="709"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1314"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智慧黑板</w:t>
            </w:r>
          </w:p>
        </w:tc>
        <w:tc>
          <w:tcPr>
            <w:tcW w:w="541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整体外观尺寸：宽≥4200mm，高≥1200mm，厚≤95mm。整机采用三拼接平面一体化设计，无推拉式结构及外露连接线，外观简洁。整机屏幕边缘采用金属圆角包边防护，整机背板采用金属材质，有效屏蔽内部电路器件辐射。</w:t>
            </w:r>
          </w:p>
          <w:p>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2、主屏支持普通粉笔直接书写，整机两侧副屏可支持以下媒介（普通粉笔、液体粉笔、成膜笔）进行板书书写。                                                            3、采用电容触控技术，支持Windows系统中进行20点或以上触控，支持在Android系统中进行10点或以上触控。                                                   4、含OPS电脑模块（I5/8G/256SSD硬盘以上）                                       5、含高清壁挂展台，采用1200W像素自动对焦摄像头，可拍摄A4画幅。</w:t>
            </w:r>
          </w:p>
        </w:tc>
        <w:tc>
          <w:tcPr>
            <w:tcW w:w="75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安装，集成调试维护</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系统设备安装、调试、培训等，含三年技术支持</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空调</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三匹立式空调，包安装及辅材</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仪器设备</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c>
          <w:tcPr>
            <w:tcW w:w="78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钢琴</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高度：123CM±10mm</w:t>
            </w:r>
            <w:r>
              <w:rPr>
                <w:rFonts w:hint="eastAsia" w:ascii="宋体" w:hAnsi="宋体" w:cs="宋体"/>
                <w:i w:val="0"/>
                <w:iCs w:val="0"/>
                <w:color w:val="000000"/>
                <w:kern w:val="0"/>
                <w:sz w:val="18"/>
                <w:szCs w:val="18"/>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 xml:space="preserve">宽度：151CM±10mm </w:t>
            </w:r>
            <w:r>
              <w:rPr>
                <w:rFonts w:hint="eastAsia" w:ascii="宋体" w:hAnsi="宋体" w:cs="宋体"/>
                <w:i w:val="0"/>
                <w:iCs w:val="0"/>
                <w:color w:val="000000"/>
                <w:kern w:val="0"/>
                <w:sz w:val="18"/>
                <w:szCs w:val="18"/>
                <w:u w:val="none"/>
                <w:lang w:val="en-US" w:eastAsia="zh-CN" w:bidi="ar"/>
              </w:rPr>
              <w:t xml:space="preserve"> </w:t>
            </w:r>
            <w:r>
              <w:rPr>
                <w:rFonts w:hint="eastAsia" w:ascii="宋体" w:hAnsi="宋体" w:eastAsia="宋体" w:cs="宋体"/>
                <w:i w:val="0"/>
                <w:iCs w:val="0"/>
                <w:color w:val="000000"/>
                <w:kern w:val="0"/>
                <w:sz w:val="18"/>
                <w:szCs w:val="18"/>
                <w:u w:val="none"/>
                <w:lang w:val="en-US" w:eastAsia="zh-CN" w:bidi="ar"/>
              </w:rPr>
              <w:t>厚度：61CM±10mm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高贵的品牌形象:亮光珠光粉金黄色铁板，采用真空铸造工艺，用锰钢高硬度材料铸制，稳定性强，音色纯正，钢琴独有”U”型大钢板设计，令钢琴的共鸣区间更广阔，提升音色共鸣度。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击弦机。白键的下沉深度9.5MM-11.5MM 弦槌的击弦行程应达到40MM-50MM。各零部件的动作反应灵敏、一致、连贯、有效。连续联动运动时无阻力变化。制音器效果快速有效。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板、肋木：采用双音板设计，增加钢琴厚度，使琴身更加稳固，音阶过渡更加自然流畅。选用云杉木实木音板、肋木，整板表面平整光洁，无局部翘曲、凹凸，无变形，板边部无崩裂、毛刺。在各种不同的气候条件下均能保持优良的音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背柱：采用不等式5背柱，每根柱子大小</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10CMX10CM，增加钢琴稳定性。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弦槌：采用榔头，加工面表面平整、厚度一直，颜色均匀，无分层撕裂及机械损伤，无切伤痕。具有高的硬度和弹性，损耗程度低，耐用性高，音色圆润通透。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弦轴钉：弦轴钉具有高精密度和光滑度，和弦轴板高度精密的配合使琴弦保持力均衡，钢琴拥有更加稳定的音色。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钢板精密数控打孔：精准度极高，这种打孔方式相对手动打孔对弦轴钉的稳定性起到很大的作用。不会产生丝毫的偏差，呈现精密的音准效果。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弦轴板：品牌弦轴板，十九层高品质枫木、榉木热压粘合弦轴板，确保钢琴突出稳定性。胶合强度大于0.8MPa。各层芯板与表板之间的纹理纵横交错叠放，纹理清晰。外观无脱胶、鼓泡、开裂、透胶、污染；表面光洁平整、无明显毛刺、沟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良好的共振设计：马桥整体连在一起不分段，采用高硬度A级色木。有利于声音传导，中高音整体设计，低音弧线设计，硬度强，不易变形，使延音更长。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琴弦：低音弦用六角钢丝经实心纯铜线材绕制，音色纯净，音准稳定。钢丝表面光亮、光滑、洁净、色泽均匀，无裂纹、折叠、拉裂、竹节和锈蚀。铜丝表面光洁，无黑点、暗斑、无焊接口。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中盘：采用中盘加固设计，外观呈“T”字型，利于中盘加固，不易变形。选用实木拼板结合使其耐变形。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配件：配琴凳，键盘呢，擦琴布，琴脚垫，亮光剂。</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电子琴</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键盘 88键，第II代三传感器渐进式配重键盘，仿象牙和仿檀木材质琴键，三级力度可调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音色 音源：多维图像渐变AiR音源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复音数128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内置音色19种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模拟器 制音共鸣、制音噪声（开/关），音槌响应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数码音效 大厅音效、混响4、合唱4、明亮度（-3-0-3），DSP（部份音色）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乐曲 音乐会演奏10首，控制器-开始/停止，模式-听/学/演奏，音乐库60首，扩展-（用户乐曲）10首,不超过90KB/首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附加功能 连接APP，教学功能-部份开/关，教学部份选择-右手/左手、MIDI录音-2轨，1首，总计约5000个音符，双钢琴模式，八度升降-正负2个八度，节拍器-0-9beats，速度调节：20-255，踏板-3踏板组件（延音，抽选，柔音）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移调 2个八度（-12半音-0-12半音）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微调 A4 = 415.5 Hz ~ 440.0 Hz ~ 465.9 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预置音律 17种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其他  大钢琴1按钮，电钢琴按钮，滑动式键盘盖，自动关机（空闲约4小时后）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连接和存储 耳机/输出，三踏板组件接口，USB接口（TO电脑）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扬声器尺寸 12cm x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功率 8W+8W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尺寸 ≥1,391ｍｍ×299ｍｍ×798mm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重量 ≥31.5kg</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包含配件 电源适配器、谱架，说明书</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沙锤</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木质，总长230㎜±5mm（含手柄）彩色，两个一组（一对）</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19</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卡巴撒</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直径11.5CM ±5mm木制圈</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双响筒</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木质，木材本色，带敲击锤，宽度194㎜±2mm，筒直径45㎜±2mm，长度215㎜±2mm 棍长19cm±2mm</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北梆子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椭圆柱体，实心，黑酸枝材质，尺寸：长19cm±2mm，最宽处4.3cm±2mm，最窄处3.3cm±2mm，敲击棍尺寸：长19cm±2mm，直径3cm±2mm，演奏时，左手持梆、右手执一木棰敲击。音色清脆、高亢而坚实。</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南梆子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长方体形，空心体，红木材质，尺寸：长22cm±2mm，宽7.8cm±2mm，高4.7cm±2mm。中间为一长方形音孔，系双面开长条形窄缝，内腔渐大。演奏时，左手持梆、右手执一木棰敲击。发音短促、圆润。</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木鱼</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材质为椿木，七个为一组（7音）；每个尺寸分别为（宽±5mm×高±5mm）：95mm×80mm、90mm×78mm、87mm×77mm、82mm×75mm、75mm×68mm、70mm×65mm。正面方形，侧面三角形。颜色：红色。手工制作，设有发音孔。附敲击槌1个，槌头1个；槌头直径为5mm，圆球形：把为圆柱形，直径为5mm，全长为195mm。敲击发出不同的声音。</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铃鼓</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木质鼓圈，直径254mm±5㎜，8对铃，鼓梆为高密度科技木质纤维。表面贴强化共振膜。双排钢合金材质铃片。高科技纤维鼓皮</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三角铁</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钢制，边长分别为15cm、20cm、25cm，三件一套</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碰铃</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材质为黄铜，系丝带型，直径为48mm±2mm，35mm±2mm.高度为42mm±2mm，30mm±2mm.壁厚为2mm；两个一对，手持碰撞发声。</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大军鼓</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尺寸：直径26英寸，高度12英寸，鼓腔:内为多层桦木，鼓圈：铝合金压铸。超强压铸合金鼓耳。正品聚酯膜鼓皮。镀锌紧箍件。每个鼓都配有专业木制鼓棒、及背架。</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小军鼓</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尺寸：14*5.5±2mm，鼓腔:内为多层桦木，鼓圈：铝合金压铸。超强压铸合金鼓耳。正品聚酯膜鼓皮。镀锌紧箍件。每个鼓都配有专业木制鼓棒及背带。</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多音鼓</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尺寸：直径6英寸、8英寸、10英寸、12英寸，四种不同尺寸的鼓固定在一个背架上。鼓腔:内为多层桦木，鼓圈：铝合金压铸。超强压铸合金鼓耳。正品聚酯膜鼓皮。镀锌紧箍件。配有专业木制鼓棒。</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30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竖笛</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6孔塑料竖笛，尺寸约：长32.5cm±5mm，宽3.2cm±2mm，附带清洁棒一支。产品采用食品级ABS无毒工程树脂材料制作，对学生使用无危害健康。</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陶笛</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单管十二孔中音C调（AC），优质陶瓷烧制，专业演奏级音色，带保护套机相关配饰。</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葫芦丝</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中音C调，天然葫芦，紫竹刻字白铜 双音可拆。</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吉它</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41寸民谣缺角吉他，面板：椴木合板，背侧板：椴木合板，指板：枫木指板，琴颈：楸木琴颈，黄铜品丝，半封闭弦轴，6根金属琴弦，音色圆润亮透，音质深淳厚。</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堂鼓</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1、材质：杨木制鼓腔、水牛皮鼓面，附带一对优质鼓棒，一套鼓架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2、规格:鼓面直径32CM（10寸）±5mm，高度33CM±5mm                                                                    3、结构：由木制鼓圈和水牛皮鼓面组成。鼓圈与鼓面连接处用锚钉固定，更为结实。鼓圈喷油红色环保油漆，鼓的侧面两端镶有铝制挂钩，可以同时挂在鼓架上使用 </w:t>
            </w:r>
          </w:p>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4、使用方法：左右手手持鼓棒敲击鼓面即可</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中虎音锣</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响铜制作，直径330mm±2mm，重量约1.2kg，优质硬木锣锤，边缘无毛刺，锣面无裂缝，表面抛光氧化处理并涂油；音质无杂音。</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小锣</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响铜制作，直径220mm±5mm，重量约0.4kg，优质硬木锣锤，边缘无毛刺，锣面无裂缝，表面抛光氧化处理并涂油；音质无杂音。</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铙</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响铜制作，直径270mm±5mm，边缘无毛刺，铙面无裂缝，表面抛光氧化处理并涂油；音质无杂音；铙面光、弧度适度、圆度准确、边缘厚度一致，中间的帽形大小和两面的音高要相同，两面为一副。</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钹</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响铜制作，直径150mm±2mm，碗径7cm±2mm，碗高2cm±2mm，重量约0.4kg，边缘无毛刺，钹面无裂缝，表面抛光氧化处理并涂油；音质无杂音；钹面光、弧度适度、圆度准确、边缘厚度一致，中间的帽形大小和两面的音高要相同，两面为一副。</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长笛</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c调，乐器专用白铜材质，表面镀银，16闭孔，曲列式</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4"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乐理教学系统</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音乐理论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1.虚拟键盘：具有一组大谱表、88键/61键/实体键/三种可选的虚拟键盘。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2.高亮显示：弹奏外接设备的同时，虚拟键盘、谱表及简谱窗口同时高亮显示。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3.三位一体同步功能：具备键盘、谱表和简谱窗口三位一体同步功能。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4.同步转换：虚拟键盘支持一键在对应琴键上显隐音名、唱名，调式转换后对应键位，音名、唱名会同步转换。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5.无限延伸漫游功能：该功能可保留音符在谱表上的位置，且谱表具有无限延伸漫游功能，所呈现内容可左右拖动，进行标注笔迹且与谱表同步移动。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6.讲解功能：支持15种调式、支持15度音程尺讲解功能；支持32组和弦对照讲解功能。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7.五度调式循环图：外圈调号、中圈大调、内圈小调，点击调号可直接更改谱表调式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8.显隐组功能：支持88键/61键/实体键/三种虚拟键盘组的显示，包含大字组、小字组、小字一组、小字二组等。分别有不同颜色区分区分键盘组。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9.钢琴自动演奏：点击谱表或虚拟键盘，可通过钢琴自动演奏进行发声。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10.四种谱表模式教学：界面五线谱谱表或简谱谱表与虚拟键盘组成，支持简谱、五线谱、高低音谱表、大谱表四种模式教学。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11.谱表编辑播放：五线谱谱表或简谱谱表支持四小节到八小节的编辑和输入教学，编辑后可进行播放。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 音符设置：五线谱谱表或简谱谱表输入音符时，音符可通过上下拖动改变音高。点击音符符杆可添加变音记号和符杠。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13.音符属性：五线谱谱表或简谱谱表输入音符时可选择时值、音符及休止符，谱表小节自动识别时值。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14.四种拍号：可设置4种拍号，包含：四二拍、四三拍、四四拍、八六拍。</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41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18"/>
                <w:szCs w:val="18"/>
                <w:u w:val="none"/>
              </w:rPr>
            </w:pPr>
          </w:p>
        </w:tc>
        <w:tc>
          <w:tcPr>
            <w:tcW w:w="54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文化装修布置</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bCs/>
                <w:i w:val="0"/>
                <w:iCs w:val="0"/>
                <w:color w:val="000000"/>
                <w:sz w:val="18"/>
                <w:szCs w:val="18"/>
                <w:u w:val="none"/>
              </w:rPr>
            </w:pPr>
          </w:p>
        </w:tc>
        <w:tc>
          <w:tcPr>
            <w:tcW w:w="78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欧松板基础找平</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sz w:val="18"/>
                <w:szCs w:val="18"/>
              </w:rPr>
              <w:t>9mm E0级欧松板墙面找平基层</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color w:val="000000"/>
                <w:kern w:val="0"/>
                <w:sz w:val="18"/>
                <w:szCs w:val="18"/>
                <w:lang w:bidi="ar"/>
              </w:rPr>
              <w:t>40</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木质吸音板</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型号：木质吸音板；材质：木质</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形状：长方形；多层吸音板12mm 计价单位：平方米；吸音材料形态：层状</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40</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定制吸引麻料墙布</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风格：简约现代</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颜色分类：米白色案面层工艺：色织</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墙纸类型：其他墙纸；计价单位：㎡</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66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PVC压条</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43</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广告雪弗板造型（定制）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定制符合特色教室的主题造型的环境效果</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石膏板平顶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按照展开面积算</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26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顶面批腻子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作业面补缝、防锈等处理，批腻子找平。</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26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顶面白色乳胶漆</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作业面打磨、除尘等处理，披刮或滚涂两底两面乳胶漆。</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26</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铝方通吊顶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型号：铝方通；材质：铝合金</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厚度：0.5mm；</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表面工艺：覆膜；计价单位：平方</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75</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铝方通方灯</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型号：方通灯；风格：简约现代</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控制类型：非智能控制；吊灯类型：铁艺吊灯；灯身主材质：铁</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灯罩主材质：PVC；电压：100V-240V；智能类型：不支持智能</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功率：11W(含)-15W(含)；光源色温K值：6000K</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灯具是否带光源：是光源类型：led灯光源个数：1个</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颜色分类120×10×3cm-40W</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18</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艺术灯</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风格：简约现代</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产地：中国大陆；光源色温K值：6000K</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颜色分类：1.2m</w:t>
            </w:r>
            <w:r>
              <w:rPr>
                <w:rFonts w:hint="eastAsia" w:ascii="宋体" w:hAnsi="宋体" w:eastAsia="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bidi="ar"/>
              </w:rPr>
              <w:t>彩色吸顶灯76瓦；电压：100V-240V；</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灯身主材质：铁</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灯罩主材质：PMMA高透光率灯罩；光源类型：led；</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灯光源个数：10个</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工艺：喷漆磨砂；控制类型：非智能控制；智能类型：不支持智能</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是否智能操控：否；灯具型状：吸吊两用型；吊灯灯头个数：1个</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4</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筒灯</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材质：铝</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颜色分类：4W-开孔7-8.5cm-正白光5700K ；灯具是否带光源：是</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电压：111V~240V（含）；光源类型：led灯；控制类型：其他</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是否智能操控：否；</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20</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地板胶</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地板革类型：多层复合型；计价单位：1㎡；每片宽度(mm)：2000mm</w:t>
            </w:r>
          </w:p>
          <w:p>
            <w:pPr>
              <w:widowControl/>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产地：中国大陆</w:t>
            </w:r>
            <w:r>
              <w:rPr>
                <w:rFonts w:hint="eastAsia" w:ascii="宋体" w:hAnsi="宋体" w:eastAsia="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bidi="ar"/>
              </w:rPr>
              <w:t>功能：耐磨形状：卷材</w:t>
            </w:r>
          </w:p>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材质：PVC厚度：2mm</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水电工程</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水电管线、开关、插座等一次性包干</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材料搬运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101平方</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57</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bidi="ar"/>
              </w:rPr>
              <w:t>竣工保洁</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color w:val="000000"/>
                <w:kern w:val="0"/>
                <w:sz w:val="18"/>
                <w:szCs w:val="18"/>
                <w:lang w:val="en-US" w:eastAsia="zh-CN" w:bidi="ar"/>
              </w:rPr>
              <w:t>101平方</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8977"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32"/>
                <w:szCs w:val="32"/>
                <w:u w:val="none"/>
                <w:lang w:val="en-US" w:eastAsia="zh-CN"/>
              </w:rPr>
              <w:t>三、办公室改造部分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规格及技术参数</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办公室地板</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1.规格尺寸W1200*D198*H15mm；</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2.板芯厚度：即中间的木板层数，为3层</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3.实木板的表面有多种饰面处理方法：油漆</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4.纹理处理：多层实木板的纹理处理为原木纹                                                       5.含地板安装费用，老地板的拆除及地面平整，办公桌的拆装与维修。                      </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平方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实木踢脚线</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1.尺寸  W2400*D65*H13mm；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2.材质：实木板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3.工艺：采用国家标准E1级板，厚度18mm,基材采用优质实木板，面贴优质三聚氰胺纸。</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橱柜</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1.尺寸  W2000*D550*H900mm；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2.材质：颗粒板免漆板，石英石，不锈钢盆，不锈钢水龙头；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3.工艺：柜体，柜门采用国家标准E1级板，厚度18mm,基材采用优质颗粒板，面贴优质三聚氰胺纸，PVC卡条边制作。台面用天然石英石，厚度为15mm，五金件采用液压铰链，缓冲效果是普通铰链的五倍；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4.功能：配置收纳，清洁洗漱。</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trPr>
        <w:tc>
          <w:tcPr>
            <w:tcW w:w="8977" w:type="dxa"/>
            <w:gridSpan w:val="5"/>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tabs>
                <w:tab w:val="left" w:pos="3945"/>
              </w:tabs>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32"/>
                <w:szCs w:val="32"/>
                <w:u w:val="none"/>
                <w:lang w:val="en-US" w:eastAsia="zh-CN"/>
              </w:rPr>
              <w:t>四、风雨操场改造部分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709"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cyan"/>
                <w:u w:val="none"/>
                <w:shd w:val="clear" w:color="auto" w:fill="auto"/>
                <w:lang w:val="en-US" w:eastAsia="zh-CN" w:bidi="ar"/>
              </w:rPr>
            </w:pPr>
            <w:r>
              <w:rPr>
                <w:rFonts w:hint="eastAsia" w:ascii="宋体" w:hAnsi="宋体" w:eastAsia="宋体" w:cs="宋体"/>
                <w:b/>
                <w:bCs/>
                <w:i w:val="0"/>
                <w:iCs w:val="0"/>
                <w:color w:val="000000"/>
                <w:kern w:val="0"/>
                <w:sz w:val="20"/>
                <w:szCs w:val="20"/>
                <w:u w:val="none"/>
                <w:shd w:val="clear" w:color="auto" w:fill="auto"/>
                <w:lang w:val="en-US" w:eastAsia="zh-CN" w:bidi="ar"/>
              </w:rPr>
              <w:t>序号</w:t>
            </w:r>
          </w:p>
        </w:tc>
        <w:tc>
          <w:tcPr>
            <w:tcW w:w="1314"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cyan"/>
                <w:u w:val="none"/>
                <w:shd w:val="clear" w:color="auto" w:fill="auto"/>
                <w:lang w:val="en-US" w:eastAsia="zh-CN" w:bidi="ar"/>
              </w:rPr>
            </w:pPr>
            <w:r>
              <w:rPr>
                <w:rFonts w:hint="eastAsia" w:ascii="宋体" w:hAnsi="宋体" w:eastAsia="宋体" w:cs="宋体"/>
                <w:b/>
                <w:bCs/>
                <w:i w:val="0"/>
                <w:iCs w:val="0"/>
                <w:color w:val="000000"/>
                <w:kern w:val="0"/>
                <w:sz w:val="20"/>
                <w:szCs w:val="20"/>
                <w:u w:val="none"/>
                <w:shd w:val="clear" w:color="auto" w:fill="auto"/>
                <w:lang w:val="en-US" w:eastAsia="zh-CN" w:bidi="ar"/>
              </w:rPr>
              <w:t>名称</w:t>
            </w:r>
          </w:p>
        </w:tc>
        <w:tc>
          <w:tcPr>
            <w:tcW w:w="5416"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cyan"/>
                <w:u w:val="none"/>
                <w:shd w:val="clear" w:color="auto" w:fill="auto"/>
                <w:lang w:val="en-US" w:eastAsia="zh-CN" w:bidi="ar"/>
              </w:rPr>
            </w:pPr>
            <w:r>
              <w:rPr>
                <w:rFonts w:hint="eastAsia" w:ascii="宋体" w:hAnsi="宋体" w:eastAsia="宋体" w:cs="宋体"/>
                <w:b/>
                <w:bCs/>
                <w:i w:val="0"/>
                <w:iCs w:val="0"/>
                <w:color w:val="000000"/>
                <w:kern w:val="0"/>
                <w:sz w:val="20"/>
                <w:szCs w:val="20"/>
                <w:u w:val="none"/>
                <w:shd w:val="clear" w:color="auto" w:fill="auto"/>
                <w:lang w:val="en-US" w:eastAsia="zh-CN" w:bidi="ar"/>
              </w:rPr>
              <w:t>规格及技术参数</w:t>
            </w:r>
          </w:p>
        </w:tc>
        <w:tc>
          <w:tcPr>
            <w:tcW w:w="750"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cyan"/>
                <w:u w:val="none"/>
                <w:shd w:val="clear" w:color="auto" w:fill="auto"/>
                <w:lang w:val="en-US" w:eastAsia="zh-CN" w:bidi="ar"/>
              </w:rPr>
            </w:pPr>
            <w:r>
              <w:rPr>
                <w:rFonts w:hint="eastAsia" w:ascii="宋体" w:hAnsi="宋体" w:eastAsia="宋体" w:cs="宋体"/>
                <w:b/>
                <w:bCs/>
                <w:i w:val="0"/>
                <w:iCs w:val="0"/>
                <w:color w:val="000000"/>
                <w:kern w:val="0"/>
                <w:sz w:val="20"/>
                <w:szCs w:val="20"/>
                <w:u w:val="none"/>
                <w:shd w:val="clear" w:color="auto" w:fill="auto"/>
                <w:lang w:val="en-US" w:eastAsia="zh-CN" w:bidi="ar"/>
              </w:rPr>
              <w:t>数量</w:t>
            </w:r>
          </w:p>
        </w:tc>
        <w:tc>
          <w:tcPr>
            <w:tcW w:w="788" w:type="dxa"/>
            <w:tcBorders>
              <w:top w:val="single" w:color="auto"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cyan"/>
                <w:u w:val="none"/>
                <w:shd w:val="clear" w:color="auto" w:fill="auto"/>
                <w:lang w:val="en-US" w:eastAsia="zh-CN" w:bidi="ar"/>
              </w:rPr>
            </w:pPr>
            <w:r>
              <w:rPr>
                <w:rFonts w:hint="eastAsia" w:ascii="宋体" w:hAnsi="宋体" w:eastAsia="宋体" w:cs="宋体"/>
                <w:b/>
                <w:bCs/>
                <w:i w:val="0"/>
                <w:iCs w:val="0"/>
                <w:color w:val="000000"/>
                <w:kern w:val="0"/>
                <w:sz w:val="20"/>
                <w:szCs w:val="20"/>
                <w:u w:val="none"/>
                <w:shd w:val="clear" w:color="auto" w:fill="auto"/>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风雨操场专用悬挂灯</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安装方式：吊链、吊杆；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光源类型：SMD2835；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尺      寸：/φ400*217mm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功      率： 150W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光 束  角： 90°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色      温： 4000K/5700K</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      质： 壳体材质PA电源壳，铝反射罩；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显色指数： Ra＞80；防护等级： IP20；功率因数： 0.95；雷击浪涌： L-N:2KV，  G-L/N:2KV；整灯光通量：18000 lm ；绝缘等级：CLASS Ⅰ；整灯光效：120lm/W；输入电压：AC220V</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24.00 </w:t>
            </w:r>
          </w:p>
        </w:tc>
        <w:tc>
          <w:tcPr>
            <w:tcW w:w="7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硅PU地面</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硅PU球场面漆通过GB/T2517.4-2017、GB/T 22374-2018检测，耐磨性（750g/500r）≤0.050g，耐冲击性轻载（500g钢球）/重载（1000g钢球）涂膜无裂纹、无脱落，防滑性（干摩擦系数）≥0.5，耐水性经过168小时无起泡、不脱落、无变色、无开裂、无掉粉、无失光，耐化学性能耐碱性、耐酸性、耐油性检测为无气泡、不脱落、无变色、无开裂、无掉粉、无失光的检测合格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硅PU球场面漆材料经过2000小时的紫外线照射后，要求耐黄变性能≤3级，且涂膜外观不起泡、不剥落、无裂纹、无粉化现象，符合GB/T39294-2020、GB/T22374-2018标准要求，并提供具有“CMA”资质检测机构出具的检测合格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硅PU面漆材料经过50℃、-0℃各放置72j，循环12次，面漆材料的耐温变性检测现实无粉化、无开裂、无剥落、无起泡          </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799.00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一体机电脑</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1.CPU：十二代New Core I5-12500CPU</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▲2.主板：Intel Q670芯片组主板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3.显卡：集成显卡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4.内存：≥16GB DDR4 3200规格, 不少于2个内存插槽，系统最大支持64GB或以上；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5.硬盘：≥512 M.2固态硬盘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6.光驱：无光驱</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端口：≥5个USB 3.2 接口（支持键盘启动），1 个 RJ-45；1 个 HDMI；1 个 DP接口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8.电源：≥120W 89%高效节能电源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9.键盘、鼠标：原厂抗菌防水键盘鼠标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10.显示器：23.8"三边微边框IPS宽屏LED背光防眩光液晶显示器(1920X1080)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▲11.操作系统：预装正版Windows11 64位中文操作系统，支持网络在线恢复原厂预装系统。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12.网络摄像头：带有集成双阵列数字麦克风的</w:t>
            </w:r>
            <w:r>
              <w:rPr>
                <w:rFonts w:hint="default" w:ascii="Arial" w:hAnsi="Arial" w:eastAsia="宋体" w:cs="Arial"/>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 xml:space="preserve"> 500 万像素摄像头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13.网络同传：网络同传，支持对传输数据进行加密功能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14.底座支架：非相框式底座（俯仰角可调）</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小便池隔板（抗倍特板）</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装饰色纸含浸三聚氰胺树脂，加上多层黑色或褐色牛皮纸含浸酚醛树脂层叠后，再用钢板经由高温（150℃）高压（1430psi）的环境压制而成，厚度从1.6mm到25mm皆可制作。它是一种透心结构的高压装饰板，表面的色纸层，不但可满足多种花色选择</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墙砖</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瓷砖尺寸：300×600mm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瓷砖的厚度为有8mm，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瓷砖吸水率小于3%的</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23.50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成品铝合金门+门套</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门框材质：铝合金型材制成，具有良好的强度和稳定性。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门扇材料：铝合金门扇可能采用双层或多层中空玻璃，提供隔热和隔音效果。门扇的厚度有50mm。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门框厚度：铝合金门框的厚度主要有70mm。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玻璃尺寸：铝合金门常用的玻璃尺寸有5mm。</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8.00 </w:t>
            </w:r>
          </w:p>
        </w:tc>
        <w:tc>
          <w:tcPr>
            <w:tcW w:w="7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13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实木踢脚线</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1.尺寸  W2400*D65*H13mm；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2.材质：实木板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3.工艺：采用国家标准E1级板，厚度18mm,基材采用优质实木板，面贴优质三聚氰胺纸</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118.00 </w:t>
            </w:r>
          </w:p>
        </w:tc>
        <w:tc>
          <w:tcPr>
            <w:tcW w:w="7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卫生间黑色门框</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九厘板、欧松板基础.1.3毫米厚度黑色拉丝不锈钢</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15.40 </w:t>
            </w:r>
          </w:p>
        </w:tc>
        <w:tc>
          <w:tcPr>
            <w:tcW w:w="7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卫生间卷帘</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2.4M*1.3米，聚酯纤维面料</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14.00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洗手池大理石台面</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天然大理石1.8M*0.12M*0.015M</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冷热龙头+淋浴喷头</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男、女浴室梁淋浴套件</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14.00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卫生间吊顶修补</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男、女卫生间集成吊顶修补，灯具更换</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贴墙砖（正铺）</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highlight w:val="yellow"/>
                <w:u w:val="none"/>
                <w:lang w:val="en-US" w:eastAsia="zh-CN" w:bidi="ar"/>
              </w:rPr>
            </w:pPr>
            <w:r>
              <w:rPr>
                <w:rFonts w:hint="eastAsia" w:ascii="宋体" w:hAnsi="宋体" w:eastAsia="宋体" w:cs="宋体"/>
                <w:i w:val="0"/>
                <w:iCs w:val="0"/>
                <w:color w:val="000000"/>
                <w:kern w:val="0"/>
                <w:sz w:val="18"/>
                <w:szCs w:val="18"/>
                <w:u w:val="none"/>
                <w:lang w:val="en-US" w:eastAsia="zh-CN" w:bidi="ar"/>
              </w:rPr>
              <w:t>刮水泥胶泥混合浆留缝铺贴。</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规格300*600/300*450/300*300普通正铺法。</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23.50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墙面砖刷背胶人工增加费</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瓷砖背面刷胶摊开或码放整齐。</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23.50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墙、地面防水处理</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堵漏王修补，防水浆滚涂施工。</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23.50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地砖修补</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刮水泥胶泥混合浆留缝铺贴。300*300普通正铺法</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墙砖修补</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刮水泥胶泥混合浆留缝铺贴。300*600普通正铺法</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消防管喷漆</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红色消防管专业漆</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4.00 </w:t>
            </w:r>
          </w:p>
        </w:tc>
        <w:tc>
          <w:tcPr>
            <w:tcW w:w="7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防火门打磨刷漆</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防火门翻新</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4.00 </w:t>
            </w:r>
          </w:p>
        </w:tc>
        <w:tc>
          <w:tcPr>
            <w:tcW w:w="7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墙面打磨</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作业面打磨、除尘等处理</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1200.00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墙面批腻子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作业面补缝、防锈等处理，批腻子2—3遍找平。</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1200.00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墙面乳胶漆</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披刮或滚涂两底两面乳胶漆。</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1200.00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w:t>
            </w:r>
          </w:p>
        </w:tc>
        <w:tc>
          <w:tcPr>
            <w:tcW w:w="13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顶面打磨</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作业面打磨、除尘等处理</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320.00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顶面批腻子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作业面补缝、防锈等处理，批腻子2—3遍找平。</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320.00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顶面乳胶漆</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披刮或滚涂两底两面乳胶漆。</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320.00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原地面铲除</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采用机械铲除原硅PU，并进行平整度打磨，开裂地方进行灌水泥砂浆填充磨平。</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799.00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w:t>
            </w:r>
          </w:p>
        </w:tc>
        <w:tc>
          <w:tcPr>
            <w:tcW w:w="13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吊车租赁</w:t>
            </w:r>
          </w:p>
        </w:tc>
        <w:tc>
          <w:tcPr>
            <w:tcW w:w="5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封面粉刷及灯具安装吊车租赁</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1.00 </w:t>
            </w:r>
          </w:p>
        </w:tc>
        <w:tc>
          <w:tcPr>
            <w:tcW w:w="78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保洁</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竣工卫生清理一遍。</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880.00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垃圾清运</w:t>
            </w:r>
          </w:p>
        </w:tc>
        <w:tc>
          <w:tcPr>
            <w:tcW w:w="54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清理施工期间垃圾运至指定垃圾堆放点，按房屋建筑面积计。</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799.00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打胶</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门套、踢脚线、大理石等收口打胶</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799.00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0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w:t>
            </w:r>
          </w:p>
        </w:tc>
        <w:tc>
          <w:tcPr>
            <w:tcW w:w="131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文化广告</w:t>
            </w:r>
          </w:p>
        </w:tc>
        <w:tc>
          <w:tcPr>
            <w:tcW w:w="541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体育馆元素广告设计，亚克力+雕刻+UV彩喷，雪弗雕刻，加厚彩色水晶字，提供设计效果图</w:t>
            </w:r>
          </w:p>
        </w:tc>
        <w:tc>
          <w:tcPr>
            <w:tcW w:w="75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1.00 </w:t>
            </w:r>
          </w:p>
        </w:tc>
        <w:tc>
          <w:tcPr>
            <w:tcW w:w="78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 w:hRule="atLeast"/>
        </w:trPr>
        <w:tc>
          <w:tcPr>
            <w:tcW w:w="8977" w:type="dxa"/>
            <w:gridSpan w:val="5"/>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center"/>
              <w:textAlignment w:val="center"/>
              <w:rPr>
                <w:rFonts w:hint="default" w:ascii="宋体" w:hAnsi="宋体" w:eastAsia="宋体" w:cs="宋体"/>
                <w:i w:val="0"/>
                <w:iCs w:val="0"/>
                <w:color w:val="FF0000"/>
                <w:kern w:val="0"/>
                <w:sz w:val="18"/>
                <w:szCs w:val="18"/>
                <w:u w:val="none"/>
                <w:lang w:val="en-US" w:eastAsia="zh-CN" w:bidi="ar"/>
              </w:rPr>
            </w:pPr>
            <w:r>
              <w:rPr>
                <w:rFonts w:hint="eastAsia" w:ascii="宋体" w:hAnsi="宋体" w:cs="宋体"/>
                <w:i w:val="0"/>
                <w:iCs w:val="0"/>
                <w:color w:val="auto"/>
                <w:sz w:val="32"/>
                <w:szCs w:val="32"/>
                <w:u w:val="none"/>
                <w:lang w:val="en-US" w:eastAsia="zh-CN"/>
              </w:rPr>
              <w:t>五</w:t>
            </w:r>
            <w:r>
              <w:rPr>
                <w:rFonts w:hint="eastAsia" w:ascii="宋体" w:hAnsi="宋体" w:eastAsia="宋体" w:cs="宋体"/>
                <w:i w:val="0"/>
                <w:iCs w:val="0"/>
                <w:color w:val="auto"/>
                <w:sz w:val="32"/>
                <w:szCs w:val="32"/>
                <w:u w:val="none"/>
                <w:lang w:val="en-US" w:eastAsia="zh-CN"/>
              </w:rPr>
              <w:t>、其他改造部分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 w:hRule="atLeast"/>
        </w:trPr>
        <w:tc>
          <w:tcPr>
            <w:tcW w:w="709"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14"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操场电子屏</w:t>
            </w:r>
          </w:p>
        </w:tc>
        <w:tc>
          <w:tcPr>
            <w:tcW w:w="5416"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1、P10单色屏，12.89m*0.89m</w:t>
            </w:r>
            <w:r>
              <w:rPr>
                <w:rFonts w:hint="eastAsia" w:ascii="宋体" w:hAnsi="宋体" w:cs="宋体"/>
                <w:i w:val="0"/>
                <w:iCs w:val="0"/>
                <w:color w:val="000000"/>
                <w:kern w:val="0"/>
                <w:sz w:val="18"/>
                <w:szCs w:val="18"/>
                <w:u w:val="none"/>
                <w:lang w:val="en-US" w:eastAsia="zh-CN" w:bidi="ar"/>
              </w:rPr>
              <w:t>，±3CM</w:t>
            </w:r>
            <w:r>
              <w:rPr>
                <w:rFonts w:hint="eastAsia" w:ascii="宋体" w:hAnsi="宋体" w:eastAsia="宋体" w:cs="宋体"/>
                <w:i w:val="0"/>
                <w:iCs w:val="0"/>
                <w:color w:val="000000"/>
                <w:kern w:val="0"/>
                <w:sz w:val="18"/>
                <w:szCs w:val="18"/>
                <w:u w:val="none"/>
                <w:lang w:val="en-US" w:eastAsia="zh-CN" w:bidi="ar"/>
              </w:rPr>
              <w:t>。</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2、驱动IC支持4比特。                                      3、物理密度：≥10000点/㎡；像素组成 R；刷新频率≥200Hz。</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4.含控制卡，带WIFI控制模块</w:t>
            </w:r>
          </w:p>
        </w:tc>
        <w:tc>
          <w:tcPr>
            <w:tcW w:w="750"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1</w:t>
            </w:r>
          </w:p>
        </w:tc>
        <w:tc>
          <w:tcPr>
            <w:tcW w:w="788"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 w:hRule="atLeast"/>
        </w:trPr>
        <w:tc>
          <w:tcPr>
            <w:tcW w:w="709"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314"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金属包柱（防锈漆+金属漆）</w:t>
            </w:r>
          </w:p>
        </w:tc>
        <w:tc>
          <w:tcPr>
            <w:tcW w:w="5416"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柱子直径0.6m，高度4.4m</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304不锈钢的化学成分包括：碳（C）的含量≤0.08%，硅（Si）的含量≤1%，锰（Mn）的含量≤2%，磷（P）的含量≤0.045%，硫（S）的含量≤0.03%，铬（Cr）的含量为18.00-20.00%，镍（Ni）的含量为8-10.5%。</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物理性能：密度：7.93g/cm3；热胀系数：17.2*10~（-6）/摄氏度；导热系数：16.3W/m.K；电阻率：0.73Ω’mm2/m.；</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机械压模成型；</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3、防锈漆漆膜外观。漆膜平整光滑，颜色符合标准样板。</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干燥时间。在标准厚度单涂层、25℃的条件下，表干≤2小时，实干≤12小时。铅笔硬度。≥HB。</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闪点。漆料24℃，固化剂27℃。</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弯曲实验。≤1mm。</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焊接烧伤宽度。≤15mm。</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耐盐水性。3%，168小时不起泡、不脱落、不生锈。</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配比为漆料比固化剂=10:1（重量比）。</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施工时限。25℃下8小时，理论用量200~250g/㎡。</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复涂间隔。温度5℃时最短48小时，最长14天；20℃时最短24小时，最长14天</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4、金属漆  涂装道数涂装二道 干膜厚度60±5mm</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配套用漆 S53-31聚氨酯防锈漆 S06-16金属底漆 BZ04-70聚氨酯中间漆</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表面处理 涂漆基面要牢固洁净，无油污、灰尘等所有污物。涂装基面无酸、碱或水分凝结。</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对固化已久的聚氨酯面漆，应用砂纸打毛后，方能涂装后道面漆。</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涂装方法 无气喷涂：稀 释 剂：X-8金属面漆稀释剂 稀 释 率：0～15%（以漆料重量计）</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喷嘴口径：约0.4～0.5mm 喷出压力：15～20MPa</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空气喷涂 ：稀 释 剂：X-8金属面漆稀释剂 稀 释 率：0～25%（以漆料重量计）</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喷嘴口径：约1.8～2.5mm 喷出压力：0.3～0.5MPa</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滚涂/刷涂：稀释 剂：X-8金属面漆稀释剂 稀 释 率：0～20%（以漆料重量计）</w:t>
            </w:r>
          </w:p>
          <w:p>
            <w:pPr>
              <w:keepNext w:val="0"/>
              <w:keepLines w:val="0"/>
              <w:widowControl/>
              <w:numPr>
                <w:ilvl w:val="0"/>
                <w:numId w:val="0"/>
              </w:numPr>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5、文化装饰  体现本校校园文化与校风的内容</w:t>
            </w:r>
          </w:p>
        </w:tc>
        <w:tc>
          <w:tcPr>
            <w:tcW w:w="750"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4</w:t>
            </w:r>
          </w:p>
        </w:tc>
        <w:tc>
          <w:tcPr>
            <w:tcW w:w="788" w:type="dxa"/>
            <w:tcBorders>
              <w:top w:val="single" w:color="auto" w:sz="4" w:space="0"/>
              <w:left w:val="single" w:color="000000" w:sz="4" w:space="0"/>
              <w:bottom w:val="single" w:color="auto" w:sz="4" w:space="0"/>
              <w:right w:val="single" w:color="000000" w:sz="4" w:space="0"/>
            </w:tcBorders>
            <w:noWrap/>
            <w:vAlign w:val="center"/>
          </w:tcPr>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根</w:t>
            </w:r>
          </w:p>
        </w:tc>
      </w:tr>
    </w:tbl>
    <w:p>
      <w:pPr>
        <w:rPr>
          <w:color w:val="FF0000"/>
        </w:rPr>
      </w:pPr>
    </w:p>
    <w:p>
      <w:pPr>
        <w:spacing w:line="360" w:lineRule="auto"/>
        <w:ind w:firstLine="422" w:firstLineChars="200"/>
      </w:pPr>
      <w:r>
        <w:rPr>
          <w:rFonts w:hint="eastAsia" w:ascii="宋体" w:hAnsi="宋体" w:cs="宋体"/>
          <w:b/>
          <w:bCs/>
          <w:color w:val="000000"/>
          <w:kern w:val="0"/>
          <w:sz w:val="21"/>
          <w:szCs w:val="21"/>
          <w:u w:val="single"/>
        </w:rPr>
        <w:t>招标文件所涉及的产品品牌或型号为建议性要求或档次选择要求或为代替部分技术指标描述，投标供应商可以自行选择其他品牌型号的产品参加投标，但所投产品应当具有相等或更优于招标文件要求的指标、性能、档次，否则，评标委员会将对其作出不利的评审。</w:t>
      </w:r>
    </w:p>
    <w:p>
      <w:pPr>
        <w:pStyle w:val="31"/>
        <w:snapToGrid w:val="0"/>
        <w:spacing w:line="360" w:lineRule="auto"/>
        <w:outlineLvl w:val="0"/>
        <w:rPr>
          <w:rFonts w:hAnsi="宋体" w:cs="宋体"/>
          <w:b/>
          <w:kern w:val="0"/>
          <w:sz w:val="24"/>
          <w:szCs w:val="24"/>
        </w:rPr>
      </w:pPr>
      <w:r>
        <w:rPr>
          <w:rFonts w:hint="eastAsia" w:hAnsi="宋体" w:cs="宋体"/>
          <w:b/>
          <w:bCs/>
          <w:sz w:val="24"/>
          <w:szCs w:val="24"/>
        </w:rPr>
        <w:t>三、</w:t>
      </w:r>
      <w:r>
        <w:rPr>
          <w:rFonts w:hint="eastAsia" w:hAnsi="宋体" w:cs="宋体"/>
          <w:b/>
          <w:kern w:val="0"/>
          <w:sz w:val="24"/>
          <w:szCs w:val="24"/>
        </w:rPr>
        <w:t>商务要求</w:t>
      </w:r>
    </w:p>
    <w:tbl>
      <w:tblPr>
        <w:tblStyle w:val="60"/>
        <w:tblW w:w="85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9"/>
        <w:gridCol w:w="69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9"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ascii="宋体" w:hAnsi="宋体" w:cs="宋体"/>
                <w:sz w:val="24"/>
              </w:rPr>
            </w:pPr>
            <w:r>
              <w:rPr>
                <w:rFonts w:hint="eastAsia" w:ascii="宋体" w:hAnsi="宋体" w:cs="宋体"/>
                <w:sz w:val="24"/>
              </w:rPr>
              <w:t>质保期</w:t>
            </w:r>
          </w:p>
        </w:tc>
        <w:tc>
          <w:tcPr>
            <w:tcW w:w="6979" w:type="dxa"/>
            <w:tcBorders>
              <w:top w:val="single" w:color="auto" w:sz="4" w:space="0"/>
              <w:left w:val="single" w:color="auto" w:sz="4" w:space="0"/>
              <w:bottom w:val="single" w:color="auto" w:sz="4" w:space="0"/>
              <w:right w:val="single" w:color="auto" w:sz="4" w:space="0"/>
            </w:tcBorders>
            <w:noWrap/>
            <w:vAlign w:val="center"/>
          </w:tcPr>
          <w:p>
            <w:pPr>
              <w:spacing w:line="360" w:lineRule="auto"/>
              <w:rPr>
                <w:rFonts w:ascii="宋体" w:hAnsi="宋体" w:cs="宋体"/>
                <w:color w:val="182196"/>
                <w:sz w:val="24"/>
              </w:rPr>
            </w:pPr>
            <w:r>
              <w:rPr>
                <w:rFonts w:hint="eastAsia" w:ascii="宋体" w:hAnsi="宋体" w:cs="宋体"/>
                <w:b/>
                <w:bCs/>
                <w:color w:val="281DBD"/>
                <w:sz w:val="24"/>
              </w:rPr>
              <w:t>3年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1549"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ascii="宋体" w:hAnsi="宋体" w:cs="宋体"/>
                <w:sz w:val="24"/>
              </w:rPr>
            </w:pPr>
            <w:r>
              <w:rPr>
                <w:rFonts w:hint="eastAsia" w:ascii="宋体" w:hAnsi="宋体" w:cs="宋体"/>
                <w:sz w:val="24"/>
              </w:rPr>
              <w:t>工期及地点</w:t>
            </w:r>
          </w:p>
        </w:tc>
        <w:tc>
          <w:tcPr>
            <w:tcW w:w="6979" w:type="dxa"/>
            <w:tcBorders>
              <w:top w:val="single" w:color="auto" w:sz="4" w:space="0"/>
              <w:left w:val="single" w:color="auto" w:sz="4" w:space="0"/>
              <w:bottom w:val="single" w:color="auto" w:sz="4" w:space="0"/>
              <w:right w:val="single" w:color="auto" w:sz="4" w:space="0"/>
            </w:tcBorders>
            <w:noWrap/>
            <w:vAlign w:val="center"/>
          </w:tcPr>
          <w:p>
            <w:pPr>
              <w:spacing w:line="360" w:lineRule="auto"/>
              <w:rPr>
                <w:rFonts w:ascii="宋体" w:hAnsi="宋体" w:cs="宋体"/>
                <w:b/>
                <w:bCs/>
                <w:color w:val="281DBD"/>
                <w:sz w:val="24"/>
              </w:rPr>
            </w:pPr>
            <w:r>
              <w:rPr>
                <w:rFonts w:hint="eastAsia" w:ascii="宋体" w:hAnsi="宋体" w:cs="宋体"/>
                <w:b/>
                <w:bCs/>
                <w:color w:val="281DBD"/>
                <w:sz w:val="24"/>
              </w:rPr>
              <w:t>合同签订后</w:t>
            </w:r>
            <w:r>
              <w:rPr>
                <w:rFonts w:hint="eastAsia" w:ascii="宋体" w:hAnsi="宋体" w:cs="宋体"/>
                <w:b/>
                <w:bCs/>
                <w:color w:val="281DBD"/>
                <w:sz w:val="24"/>
                <w:lang w:val="en-US" w:eastAsia="zh-CN"/>
              </w:rPr>
              <w:t>45</w:t>
            </w:r>
            <w:r>
              <w:rPr>
                <w:rFonts w:hint="eastAsia" w:ascii="宋体" w:hAnsi="宋体" w:cs="宋体"/>
                <w:b/>
                <w:bCs/>
                <w:color w:val="281DBD"/>
                <w:sz w:val="24"/>
              </w:rPr>
              <w:t>天内完成项目并通过验收；</w:t>
            </w:r>
          </w:p>
          <w:p>
            <w:pPr>
              <w:spacing w:line="360" w:lineRule="auto"/>
              <w:rPr>
                <w:rFonts w:ascii="宋体" w:hAnsi="宋体" w:cs="宋体"/>
                <w:color w:val="182196"/>
                <w:sz w:val="24"/>
              </w:rPr>
            </w:pPr>
            <w:r>
              <w:rPr>
                <w:rFonts w:hint="eastAsia" w:ascii="宋体" w:hAnsi="宋体" w:cs="宋体"/>
                <w:b/>
                <w:bCs/>
                <w:color w:val="281DBD"/>
                <w:sz w:val="24"/>
              </w:rPr>
              <w:t>地点：</w:t>
            </w:r>
            <w:r>
              <w:rPr>
                <w:rFonts w:hint="eastAsia" w:ascii="宋体" w:hAnsi="宋体" w:cs="宋体"/>
                <w:b/>
                <w:bCs/>
                <w:color w:val="281DBD"/>
                <w:sz w:val="24"/>
                <w:u w:val="single"/>
              </w:rPr>
              <w:t>采购人指定地点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6" w:hRule="atLeast"/>
        </w:trPr>
        <w:tc>
          <w:tcPr>
            <w:tcW w:w="1549"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其他要求</w:t>
            </w:r>
          </w:p>
        </w:tc>
        <w:tc>
          <w:tcPr>
            <w:tcW w:w="6979" w:type="dxa"/>
            <w:tcBorders>
              <w:top w:val="single" w:color="auto" w:sz="4" w:space="0"/>
              <w:left w:val="single" w:color="auto" w:sz="4" w:space="0"/>
              <w:bottom w:val="single" w:color="auto" w:sz="4" w:space="0"/>
              <w:right w:val="single" w:color="auto" w:sz="4" w:space="0"/>
            </w:tcBorders>
            <w:noWrap/>
            <w:vAlign w:val="center"/>
          </w:tcPr>
          <w:p>
            <w:pPr>
              <w:spacing w:line="360" w:lineRule="auto"/>
              <w:ind w:firstLine="482" w:firstLineChars="200"/>
              <w:rPr>
                <w:rFonts w:hint="eastAsia" w:ascii="宋体" w:hAnsi="宋体" w:eastAsia="宋体" w:cs="宋体"/>
                <w:b/>
                <w:bCs/>
                <w:color w:val="281DBD"/>
                <w:sz w:val="24"/>
                <w:lang w:val="en-US" w:eastAsia="zh-CN"/>
              </w:rPr>
            </w:pPr>
            <w:r>
              <w:rPr>
                <w:rFonts w:hint="eastAsia" w:ascii="宋体" w:hAnsi="宋体" w:eastAsia="宋体" w:cs="宋体"/>
                <w:b/>
                <w:bCs/>
                <w:color w:val="281DBD"/>
                <w:sz w:val="24"/>
                <w:lang w:val="en-US" w:eastAsia="zh-CN"/>
              </w:rPr>
              <w:t>1、供应商在施工过程中应安排技术人员做好施工日志（逐日记载不许中断，内容应完备）的记录；</w:t>
            </w:r>
          </w:p>
          <w:p>
            <w:pPr>
              <w:spacing w:line="360" w:lineRule="auto"/>
              <w:ind w:firstLine="482" w:firstLineChars="200"/>
              <w:rPr>
                <w:rFonts w:hint="eastAsia" w:ascii="宋体" w:hAnsi="宋体" w:eastAsia="宋体" w:cs="宋体"/>
                <w:b/>
                <w:bCs/>
                <w:color w:val="281DBD"/>
                <w:sz w:val="24"/>
                <w:lang w:val="en-US" w:eastAsia="zh-CN"/>
              </w:rPr>
            </w:pPr>
            <w:r>
              <w:rPr>
                <w:rFonts w:hint="eastAsia" w:ascii="宋体" w:hAnsi="宋体" w:eastAsia="宋体" w:cs="宋体"/>
                <w:b/>
                <w:bCs/>
                <w:color w:val="281DBD"/>
                <w:sz w:val="24"/>
                <w:lang w:val="en-US" w:eastAsia="zh-CN"/>
              </w:rPr>
              <w:t>2、隐蔽工程必须经采购人</w:t>
            </w:r>
            <w:r>
              <w:rPr>
                <w:rFonts w:hint="eastAsia" w:ascii="宋体" w:hAnsi="宋体" w:cs="宋体"/>
                <w:b/>
                <w:bCs/>
                <w:color w:val="281DBD"/>
                <w:sz w:val="24"/>
                <w:lang w:val="en-US" w:eastAsia="zh-CN"/>
              </w:rPr>
              <w:t>（或甲方委托的监理方）</w:t>
            </w:r>
            <w:r>
              <w:rPr>
                <w:rFonts w:hint="eastAsia" w:ascii="宋体" w:hAnsi="宋体" w:eastAsia="宋体" w:cs="宋体"/>
                <w:b/>
                <w:bCs/>
                <w:color w:val="281DBD"/>
                <w:sz w:val="24"/>
                <w:lang w:val="en-US" w:eastAsia="zh-CN"/>
              </w:rPr>
              <w:t>检查、验收后，方可进行下一道工序，同时供应商应做好视频及照片等材料记录；</w:t>
            </w:r>
          </w:p>
          <w:p>
            <w:pPr>
              <w:spacing w:line="360" w:lineRule="auto"/>
              <w:ind w:firstLine="482" w:firstLineChars="200"/>
              <w:rPr>
                <w:rFonts w:hint="eastAsia" w:ascii="宋体" w:hAnsi="宋体" w:eastAsia="宋体" w:cs="宋体"/>
                <w:b/>
                <w:bCs/>
                <w:color w:val="281DBD"/>
                <w:sz w:val="24"/>
                <w:lang w:val="en-US" w:eastAsia="zh-CN"/>
              </w:rPr>
            </w:pPr>
            <w:r>
              <w:rPr>
                <w:rFonts w:hint="eastAsia" w:ascii="宋体" w:hAnsi="宋体" w:eastAsia="宋体" w:cs="宋体"/>
                <w:b/>
                <w:bCs/>
                <w:color w:val="281DBD"/>
                <w:sz w:val="24"/>
                <w:lang w:val="en-US" w:eastAsia="zh-CN"/>
              </w:rPr>
              <w:t>3、篮球场所需要原材料全部到场封存后进行抽查检测，第三方检测机构检测合格后方可施工；</w:t>
            </w:r>
          </w:p>
          <w:p>
            <w:pPr>
              <w:spacing w:line="360" w:lineRule="auto"/>
              <w:ind w:firstLine="482" w:firstLineChars="200"/>
              <w:rPr>
                <w:rFonts w:hint="eastAsia" w:ascii="宋体" w:hAnsi="宋体" w:eastAsia="宋体" w:cs="宋体"/>
                <w:b/>
                <w:bCs/>
                <w:color w:val="281DBD"/>
                <w:sz w:val="24"/>
                <w:lang w:val="en-US" w:eastAsia="zh-CN"/>
              </w:rPr>
            </w:pPr>
            <w:r>
              <w:rPr>
                <w:rFonts w:hint="eastAsia" w:ascii="宋体" w:hAnsi="宋体" w:eastAsia="宋体" w:cs="宋体"/>
                <w:b/>
                <w:bCs/>
                <w:color w:val="281DBD"/>
                <w:sz w:val="24"/>
                <w:lang w:val="en-US" w:eastAsia="zh-CN"/>
              </w:rPr>
              <w:t>4、音乐教室、美术教室、办公室抽查一个，以及风雨操场完成建设后均要出具第三方环评或检测报告，检测合格方可交付。</w:t>
            </w:r>
          </w:p>
          <w:p>
            <w:pPr>
              <w:spacing w:line="360" w:lineRule="auto"/>
              <w:ind w:firstLine="482" w:firstLineChars="200"/>
              <w:rPr>
                <w:rFonts w:hint="default"/>
                <w:lang w:val="en-US" w:eastAsia="zh-CN"/>
              </w:rPr>
            </w:pPr>
            <w:r>
              <w:rPr>
                <w:rFonts w:hint="eastAsia" w:ascii="宋体" w:hAnsi="宋体" w:eastAsia="宋体" w:cs="宋体"/>
                <w:b/>
                <w:bCs/>
                <w:color w:val="281DBD"/>
                <w:sz w:val="24"/>
                <w:lang w:val="en-US" w:eastAsia="zh-CN"/>
              </w:rPr>
              <w:t>上述所</w:t>
            </w:r>
            <w:r>
              <w:rPr>
                <w:rFonts w:hint="eastAsia" w:ascii="宋体" w:hAnsi="宋体" w:cs="宋体"/>
                <w:b/>
                <w:bCs/>
                <w:color w:val="281DBD"/>
                <w:sz w:val="24"/>
                <w:lang w:val="en-US" w:eastAsia="zh-CN"/>
              </w:rPr>
              <w:t>产生</w:t>
            </w:r>
            <w:r>
              <w:rPr>
                <w:rFonts w:hint="eastAsia" w:ascii="宋体" w:hAnsi="宋体" w:eastAsia="宋体" w:cs="宋体"/>
                <w:b/>
                <w:bCs/>
                <w:color w:val="281DBD"/>
                <w:sz w:val="24"/>
                <w:lang w:val="en-US" w:eastAsia="zh-CN"/>
              </w:rPr>
              <w:t>费用均由中标供应商全额承担。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01" w:hRule="atLeast"/>
        </w:trPr>
        <w:tc>
          <w:tcPr>
            <w:tcW w:w="1549"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ascii="宋体" w:hAnsi="宋体" w:cs="宋体"/>
                <w:sz w:val="24"/>
              </w:rPr>
            </w:pPr>
            <w:r>
              <w:rPr>
                <w:rFonts w:hint="eastAsia" w:ascii="宋体" w:hAnsi="宋体" w:cs="宋体"/>
                <w:sz w:val="24"/>
              </w:rPr>
              <w:t>付款条件</w:t>
            </w:r>
          </w:p>
        </w:tc>
        <w:tc>
          <w:tcPr>
            <w:tcW w:w="6979" w:type="dxa"/>
            <w:tcBorders>
              <w:top w:val="single" w:color="auto" w:sz="4" w:space="0"/>
              <w:left w:val="single" w:color="auto" w:sz="4" w:space="0"/>
              <w:bottom w:val="single" w:color="auto" w:sz="4" w:space="0"/>
              <w:right w:val="single" w:color="auto" w:sz="4" w:space="0"/>
            </w:tcBorders>
            <w:noWrap/>
            <w:vAlign w:val="center"/>
          </w:tcPr>
          <w:p>
            <w:pPr>
              <w:spacing w:line="360" w:lineRule="auto"/>
              <w:ind w:firstLine="482" w:firstLineChars="200"/>
              <w:rPr>
                <w:rFonts w:ascii="宋体" w:hAnsi="宋体" w:cs="宋体"/>
                <w:b/>
                <w:bCs/>
                <w:color w:val="281DBD"/>
                <w:sz w:val="24"/>
              </w:rPr>
            </w:pPr>
            <w:r>
              <w:rPr>
                <w:rFonts w:hint="eastAsia" w:ascii="宋体" w:hAnsi="宋体" w:eastAsia="宋体" w:cs="宋体"/>
                <w:b/>
                <w:bCs/>
                <w:color w:val="281DBD"/>
                <w:sz w:val="24"/>
              </w:rPr>
              <w:t>合同签订后支付不低于合同价款的</w:t>
            </w:r>
            <w:r>
              <w:rPr>
                <w:rFonts w:hint="eastAsia" w:ascii="宋体" w:hAnsi="宋体" w:eastAsia="宋体" w:cs="宋体"/>
                <w:b/>
                <w:bCs/>
                <w:color w:val="281DBD"/>
                <w:sz w:val="24"/>
                <w:lang w:val="en-US" w:eastAsia="zh-CN"/>
              </w:rPr>
              <w:t>40</w:t>
            </w:r>
            <w:r>
              <w:rPr>
                <w:rFonts w:hint="eastAsia" w:ascii="宋体" w:hAnsi="宋体" w:eastAsia="宋体" w:cs="宋体"/>
                <w:b/>
                <w:bCs/>
                <w:color w:val="281DBD"/>
                <w:sz w:val="24"/>
              </w:rPr>
              <w:t>%，项目验收</w:t>
            </w:r>
            <w:r>
              <w:rPr>
                <w:rFonts w:hint="eastAsia" w:ascii="宋体" w:hAnsi="宋体" w:eastAsia="宋体" w:cs="宋体"/>
                <w:b/>
                <w:bCs/>
                <w:color w:val="281DBD"/>
                <w:sz w:val="24"/>
                <w:lang w:val="en-US" w:eastAsia="zh-CN"/>
              </w:rPr>
              <w:t>合格后付至75%，</w:t>
            </w:r>
            <w:r>
              <w:rPr>
                <w:rFonts w:hint="eastAsia" w:ascii="宋体" w:hAnsi="宋体" w:eastAsia="宋体" w:cs="宋体"/>
                <w:b/>
                <w:bCs/>
                <w:color w:val="281DBD"/>
                <w:sz w:val="24"/>
              </w:rPr>
              <w:t>经采购人对整体资料复核完整后支付至</w:t>
            </w:r>
            <w:r>
              <w:rPr>
                <w:rFonts w:hint="eastAsia" w:ascii="宋体" w:hAnsi="宋体" w:eastAsia="宋体" w:cs="宋体"/>
                <w:b/>
                <w:bCs/>
                <w:color w:val="281DBD"/>
                <w:sz w:val="24"/>
                <w:lang w:val="en-US" w:eastAsia="zh-CN"/>
              </w:rPr>
              <w:t>结算审计</w:t>
            </w:r>
            <w:r>
              <w:rPr>
                <w:rFonts w:hint="eastAsia" w:ascii="宋体" w:hAnsi="宋体" w:eastAsia="宋体" w:cs="宋体"/>
                <w:b/>
                <w:bCs/>
                <w:color w:val="281DBD"/>
                <w:sz w:val="24"/>
              </w:rPr>
              <w:t>核准价的100%。</w:t>
            </w:r>
          </w:p>
          <w:p>
            <w:pPr>
              <w:spacing w:line="400" w:lineRule="exact"/>
              <w:rPr>
                <w:color w:val="281DBD"/>
              </w:rPr>
            </w:pPr>
            <w:r>
              <w:rPr>
                <w:rFonts w:hint="eastAsia" w:ascii="宋体" w:hAnsi="宋体" w:cs="宋体"/>
                <w:b/>
                <w:bCs/>
                <w:color w:val="281DBD"/>
                <w:sz w:val="24"/>
              </w:rPr>
              <w:t>注：</w:t>
            </w:r>
          </w:p>
          <w:p>
            <w:pPr>
              <w:numPr>
                <w:ilvl w:val="0"/>
                <w:numId w:val="8"/>
              </w:numPr>
              <w:spacing w:line="400" w:lineRule="exact"/>
              <w:rPr>
                <w:rFonts w:ascii="宋体" w:hAnsi="宋体" w:cs="宋体"/>
                <w:b/>
                <w:bCs/>
                <w:color w:val="281DBD"/>
                <w:sz w:val="24"/>
              </w:rPr>
            </w:pPr>
            <w:r>
              <w:rPr>
                <w:rFonts w:hint="eastAsia" w:ascii="宋体" w:hAnsi="宋体" w:cs="宋体"/>
                <w:b/>
                <w:bCs/>
                <w:color w:val="281DBD"/>
                <w:sz w:val="24"/>
              </w:rPr>
              <w:t>在签订合同时，供应商明确表示无需预付款或者主动要求降低预付款比例的，采购合同可不适用前述规定。</w:t>
            </w:r>
          </w:p>
          <w:p>
            <w:pPr>
              <w:numPr>
                <w:ilvl w:val="0"/>
                <w:numId w:val="8"/>
              </w:numPr>
              <w:spacing w:line="400" w:lineRule="exact"/>
            </w:pPr>
            <w:r>
              <w:rPr>
                <w:rFonts w:hint="eastAsia" w:ascii="宋体" w:hAnsi="宋体" w:cs="宋体"/>
                <w:b/>
                <w:bCs/>
                <w:color w:val="281DBD"/>
                <w:sz w:val="24"/>
              </w:rPr>
              <w:t>采购人应自收到供应商开具的发票后</w:t>
            </w:r>
            <w:r>
              <w:rPr>
                <w:rFonts w:hint="eastAsia" w:ascii="宋体" w:hAnsi="宋体" w:cs="宋体"/>
                <w:b/>
                <w:bCs/>
                <w:color w:val="281DBD"/>
                <w:sz w:val="24"/>
                <w:lang w:val="en-US" w:eastAsia="zh-CN"/>
              </w:rPr>
              <w:t>7个工作日</w:t>
            </w:r>
            <w:r>
              <w:rPr>
                <w:rFonts w:hint="eastAsia" w:ascii="宋体" w:hAnsi="宋体" w:cs="宋体"/>
                <w:b/>
                <w:bCs/>
                <w:color w:val="281DBD"/>
                <w:sz w:val="24"/>
              </w:rPr>
              <w:t>内将上述相关款项支付到合同约定的供应商账户。</w:t>
            </w:r>
          </w:p>
        </w:tc>
      </w:tr>
    </w:tbl>
    <w:p>
      <w:pPr>
        <w:widowControl/>
        <w:adjustRightInd/>
        <w:spacing w:line="400" w:lineRule="exact"/>
        <w:jc w:val="center"/>
        <w:rPr>
          <w:rFonts w:ascii="宋体" w:hAnsi="宋体" w:cs="宋体"/>
          <w:b/>
          <w:bCs/>
          <w:color w:val="000000"/>
          <w:kern w:val="0"/>
          <w:sz w:val="24"/>
        </w:rPr>
      </w:pPr>
      <w:r>
        <w:rPr>
          <w:rFonts w:hint="eastAsia" w:ascii="宋体" w:hAnsi="宋体" w:cs="宋体"/>
          <w:b/>
          <w:bCs/>
          <w:color w:val="000000"/>
          <w:kern w:val="0"/>
          <w:sz w:val="24"/>
        </w:rPr>
        <w:t>以上工作内容的费用均包含在报价总价中。</w:t>
      </w:r>
    </w:p>
    <w:p>
      <w:pPr>
        <w:adjustRightInd/>
        <w:spacing w:line="360" w:lineRule="auto"/>
        <w:jc w:val="center"/>
        <w:outlineLvl w:val="0"/>
        <w:rPr>
          <w:rFonts w:hint="eastAsia" w:ascii="宋体" w:hAnsi="宋体" w:cs="宋体"/>
          <w:b/>
          <w:sz w:val="36"/>
          <w:szCs w:val="20"/>
        </w:rPr>
      </w:pPr>
    </w:p>
    <w:p>
      <w:pPr>
        <w:adjustRightInd/>
        <w:spacing w:line="360" w:lineRule="auto"/>
        <w:jc w:val="center"/>
        <w:outlineLvl w:val="0"/>
        <w:rPr>
          <w:rFonts w:hint="eastAsia" w:ascii="宋体" w:hAnsi="宋体" w:cs="宋体"/>
          <w:b/>
          <w:sz w:val="36"/>
          <w:szCs w:val="20"/>
        </w:rPr>
      </w:pPr>
    </w:p>
    <w:p>
      <w:pPr>
        <w:adjustRightInd/>
        <w:spacing w:line="360" w:lineRule="auto"/>
        <w:jc w:val="center"/>
        <w:outlineLvl w:val="0"/>
        <w:rPr>
          <w:rFonts w:hint="eastAsia" w:ascii="宋体" w:hAnsi="宋体" w:cs="宋体"/>
          <w:b/>
          <w:sz w:val="36"/>
          <w:szCs w:val="20"/>
        </w:rPr>
      </w:pPr>
    </w:p>
    <w:p>
      <w:pPr>
        <w:adjustRightInd/>
        <w:spacing w:line="360" w:lineRule="auto"/>
        <w:jc w:val="center"/>
        <w:outlineLvl w:val="0"/>
        <w:rPr>
          <w:rFonts w:hint="eastAsia" w:ascii="宋体" w:hAnsi="宋体" w:cs="宋体"/>
          <w:b/>
          <w:sz w:val="36"/>
          <w:szCs w:val="20"/>
        </w:rPr>
      </w:pPr>
    </w:p>
    <w:p>
      <w:pPr>
        <w:adjustRightInd/>
        <w:spacing w:line="360" w:lineRule="auto"/>
        <w:jc w:val="center"/>
        <w:outlineLvl w:val="0"/>
        <w:rPr>
          <w:rFonts w:hint="eastAsia" w:ascii="宋体" w:hAnsi="宋体" w:cs="宋体"/>
          <w:b/>
          <w:sz w:val="36"/>
          <w:szCs w:val="20"/>
        </w:rPr>
      </w:pPr>
    </w:p>
    <w:p>
      <w:pPr>
        <w:adjustRightInd/>
        <w:spacing w:line="360" w:lineRule="auto"/>
        <w:jc w:val="center"/>
        <w:outlineLvl w:val="0"/>
        <w:rPr>
          <w:rFonts w:hint="eastAsia" w:ascii="宋体" w:hAnsi="宋体" w:cs="宋体"/>
          <w:b/>
          <w:sz w:val="36"/>
          <w:szCs w:val="20"/>
        </w:rPr>
      </w:pPr>
    </w:p>
    <w:p>
      <w:pPr>
        <w:adjustRightInd/>
        <w:spacing w:line="360" w:lineRule="auto"/>
        <w:jc w:val="center"/>
        <w:outlineLvl w:val="0"/>
        <w:rPr>
          <w:rFonts w:hint="eastAsia" w:ascii="宋体" w:hAnsi="宋体" w:cs="宋体"/>
          <w:b/>
          <w:sz w:val="36"/>
          <w:szCs w:val="20"/>
        </w:rPr>
      </w:pPr>
    </w:p>
    <w:p>
      <w:pPr>
        <w:adjustRightInd/>
        <w:spacing w:line="360" w:lineRule="auto"/>
        <w:jc w:val="center"/>
        <w:outlineLvl w:val="0"/>
        <w:rPr>
          <w:rFonts w:hint="eastAsia" w:ascii="宋体" w:hAnsi="宋体" w:cs="宋体"/>
          <w:b/>
          <w:sz w:val="36"/>
          <w:szCs w:val="20"/>
        </w:rPr>
      </w:pPr>
    </w:p>
    <w:p>
      <w:pPr>
        <w:adjustRightInd/>
        <w:spacing w:line="360" w:lineRule="auto"/>
        <w:jc w:val="center"/>
        <w:outlineLvl w:val="0"/>
        <w:rPr>
          <w:rFonts w:hint="eastAsia" w:ascii="宋体" w:hAnsi="宋体" w:cs="宋体"/>
          <w:b/>
          <w:sz w:val="36"/>
          <w:szCs w:val="20"/>
        </w:rPr>
      </w:pPr>
    </w:p>
    <w:p>
      <w:pPr>
        <w:pStyle w:val="2"/>
        <w:numPr>
          <w:ilvl w:val="0"/>
          <w:numId w:val="0"/>
        </w:numPr>
        <w:ind w:leftChars="0"/>
        <w:rPr>
          <w:rFonts w:hint="eastAsia" w:ascii="宋体" w:hAnsi="宋体" w:cs="宋体"/>
          <w:b/>
          <w:sz w:val="36"/>
          <w:szCs w:val="20"/>
        </w:rPr>
      </w:pPr>
    </w:p>
    <w:p>
      <w:pPr>
        <w:pStyle w:val="2"/>
        <w:numPr>
          <w:ilvl w:val="0"/>
          <w:numId w:val="0"/>
        </w:numPr>
        <w:ind w:leftChars="0"/>
        <w:rPr>
          <w:rFonts w:hint="eastAsia" w:ascii="宋体" w:hAnsi="宋体" w:cs="宋体"/>
          <w:b/>
          <w:sz w:val="36"/>
          <w:szCs w:val="20"/>
        </w:rPr>
      </w:pPr>
    </w:p>
    <w:p>
      <w:pPr>
        <w:rPr>
          <w:rFonts w:hint="eastAsia"/>
        </w:rPr>
      </w:pPr>
    </w:p>
    <w:p>
      <w:pPr>
        <w:adjustRightInd/>
        <w:spacing w:line="360" w:lineRule="auto"/>
        <w:jc w:val="center"/>
        <w:outlineLvl w:val="0"/>
        <w:rPr>
          <w:rFonts w:hint="eastAsia" w:ascii="宋体" w:hAnsi="宋体" w:cs="宋体"/>
          <w:b/>
          <w:sz w:val="36"/>
          <w:szCs w:val="20"/>
        </w:rPr>
      </w:pPr>
      <w:r>
        <w:rPr>
          <w:rFonts w:hint="eastAsia" w:ascii="宋体" w:hAnsi="宋体" w:cs="宋体"/>
          <w:b/>
          <w:sz w:val="36"/>
          <w:szCs w:val="20"/>
        </w:rPr>
        <w:t>第三部分</w:t>
      </w:r>
      <w:bookmarkEnd w:id="1"/>
      <w:r>
        <w:rPr>
          <w:rFonts w:hint="eastAsia" w:ascii="宋体" w:hAnsi="宋体" w:cs="宋体"/>
          <w:b/>
          <w:sz w:val="36"/>
          <w:szCs w:val="20"/>
        </w:rPr>
        <w:t xml:space="preserve"> 投标人须知</w:t>
      </w:r>
      <w:bookmarkEnd w:id="2"/>
    </w:p>
    <w:p>
      <w:pPr>
        <w:snapToGrid w:val="0"/>
        <w:spacing w:line="360" w:lineRule="auto"/>
        <w:jc w:val="center"/>
        <w:rPr>
          <w:rFonts w:hint="eastAsia" w:ascii="宋体" w:hAnsi="宋体" w:cs="宋体"/>
          <w:b/>
          <w:sz w:val="24"/>
        </w:rPr>
      </w:pPr>
      <w:r>
        <w:rPr>
          <w:rFonts w:hint="eastAsia" w:ascii="宋体" w:hAnsi="宋体" w:cs="宋体"/>
          <w:b/>
          <w:sz w:val="32"/>
          <w:szCs w:val="20"/>
        </w:rPr>
        <w:t>前附表</w:t>
      </w:r>
    </w:p>
    <w:tbl>
      <w:tblPr>
        <w:tblStyle w:val="60"/>
        <w:tblW w:w="5000" w:type="pct"/>
        <w:jc w:val="center"/>
        <w:tblLayout w:type="autofit"/>
        <w:tblCellMar>
          <w:top w:w="0" w:type="dxa"/>
          <w:left w:w="108" w:type="dxa"/>
          <w:bottom w:w="0" w:type="dxa"/>
          <w:right w:w="108" w:type="dxa"/>
        </w:tblCellMar>
      </w:tblPr>
      <w:tblGrid>
        <w:gridCol w:w="577"/>
        <w:gridCol w:w="7940"/>
      </w:tblGrid>
      <w:tr>
        <w:tblPrEx>
          <w:tblCellMar>
            <w:top w:w="0" w:type="dxa"/>
            <w:left w:w="108" w:type="dxa"/>
            <w:bottom w:w="0" w:type="dxa"/>
            <w:right w:w="108" w:type="dxa"/>
          </w:tblCellMar>
        </w:tblPrEx>
        <w:trPr>
          <w:cantSplit/>
          <w:trHeight w:val="381" w:hRule="atLeas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rPr>
                <w:rFonts w:hint="eastAsia" w:ascii="宋体" w:hAnsi="宋体" w:cs="宋体"/>
                <w:szCs w:val="21"/>
                <w:lang w:val="zh-CN"/>
              </w:rPr>
            </w:pPr>
            <w:r>
              <w:rPr>
                <w:rFonts w:hint="eastAsia" w:ascii="宋体" w:hAnsi="宋体" w:cs="宋体"/>
                <w:szCs w:val="21"/>
                <w:cs/>
                <w:lang w:val="zh-CN"/>
              </w:rPr>
              <w:t>序号</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left="71" w:right="-263" w:firstLine="105"/>
              <w:jc w:val="center"/>
              <w:rPr>
                <w:rFonts w:hint="eastAsia" w:ascii="宋体" w:hAnsi="宋体" w:cs="宋体"/>
                <w:b/>
                <w:szCs w:val="21"/>
                <w:lang w:val="zh-CN"/>
              </w:rPr>
            </w:pPr>
            <w:r>
              <w:rPr>
                <w:rFonts w:hint="eastAsia" w:ascii="宋体" w:hAnsi="宋体" w:cs="宋体"/>
                <w:b/>
                <w:szCs w:val="21"/>
                <w:lang w:val="zh-CN"/>
              </w:rPr>
              <w:t>内容规定</w:t>
            </w:r>
          </w:p>
        </w:tc>
      </w:tr>
      <w:tr>
        <w:tblPrEx>
          <w:tblCellMar>
            <w:top w:w="0" w:type="dxa"/>
            <w:left w:w="108" w:type="dxa"/>
            <w:bottom w:w="0" w:type="dxa"/>
            <w:right w:w="108" w:type="dxa"/>
          </w:tblCellMar>
        </w:tblPrEx>
        <w:trPr>
          <w:cantSplit/>
          <w:trHeight w:val="1285" w:hRule="atLeast"/>
          <w:jc w:val="center"/>
        </w:trPr>
        <w:tc>
          <w:tcPr>
            <w:tcW w:w="339" w:type="pct"/>
            <w:tcBorders>
              <w:top w:val="single" w:color="auto" w:sz="6" w:space="0"/>
              <w:left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1</w:t>
            </w:r>
          </w:p>
        </w:tc>
        <w:tc>
          <w:tcPr>
            <w:tcW w:w="4660" w:type="pct"/>
            <w:tcBorders>
              <w:top w:val="single" w:color="auto" w:sz="6" w:space="0"/>
              <w:left w:val="single" w:color="auto" w:sz="6" w:space="0"/>
              <w:right w:val="single" w:color="auto" w:sz="6" w:space="0"/>
            </w:tcBorders>
            <w:noWrap w:val="0"/>
            <w:vAlign w:val="center"/>
          </w:tcPr>
          <w:p>
            <w:pPr>
              <w:autoSpaceDE w:val="0"/>
              <w:autoSpaceDN w:val="0"/>
              <w:ind w:right="68"/>
              <w:rPr>
                <w:rFonts w:hint="eastAsia" w:ascii="宋体" w:hAnsi="宋体" w:cs="宋体"/>
                <w:szCs w:val="21"/>
              </w:rPr>
            </w:pPr>
            <w:r>
              <w:rPr>
                <w:rFonts w:hint="eastAsia" w:ascii="宋体" w:hAnsi="宋体" w:cs="宋体"/>
                <w:b/>
                <w:szCs w:val="21"/>
              </w:rPr>
              <w:t>项目名称：</w:t>
            </w:r>
            <w:r>
              <w:rPr>
                <w:rFonts w:hint="eastAsia" w:ascii="宋体" w:hAnsi="宋体" w:cs="宋体"/>
                <w:szCs w:val="21"/>
                <w:lang w:eastAsia="zh-CN"/>
              </w:rPr>
              <w:t>湖州市埭溪镇上强中学音体美提升工程</w:t>
            </w:r>
            <w:r>
              <w:rPr>
                <w:rFonts w:hint="eastAsia" w:ascii="宋体" w:hAnsi="宋体" w:cs="宋体"/>
                <w:szCs w:val="21"/>
              </w:rPr>
              <w:t>。</w:t>
            </w:r>
          </w:p>
          <w:p>
            <w:pPr>
              <w:autoSpaceDE w:val="0"/>
              <w:autoSpaceDN w:val="0"/>
              <w:ind w:right="68"/>
              <w:rPr>
                <w:rFonts w:hint="eastAsia" w:ascii="宋体" w:hAnsi="宋体" w:cs="宋体"/>
                <w:szCs w:val="21"/>
              </w:rPr>
            </w:pPr>
            <w:r>
              <w:rPr>
                <w:rFonts w:hint="eastAsia" w:ascii="宋体" w:hAnsi="宋体" w:cs="宋体"/>
                <w:b/>
                <w:szCs w:val="21"/>
              </w:rPr>
              <w:t>项目实施地点：</w:t>
            </w:r>
            <w:r>
              <w:rPr>
                <w:rFonts w:hint="eastAsia" w:ascii="宋体" w:hAnsi="宋体" w:cs="宋体"/>
                <w:szCs w:val="21"/>
              </w:rPr>
              <w:t>采购人指定</w:t>
            </w:r>
            <w:r>
              <w:rPr>
                <w:rFonts w:hint="eastAsia" w:ascii="宋体" w:hAnsi="宋体" w:cs="宋体"/>
                <w:szCs w:val="21"/>
                <w:lang w:val="zh-CN"/>
              </w:rPr>
              <w:t>，具体</w:t>
            </w:r>
            <w:r>
              <w:rPr>
                <w:rFonts w:hint="eastAsia" w:ascii="宋体" w:hAnsi="宋体" w:cs="宋体"/>
                <w:szCs w:val="21"/>
              </w:rPr>
              <w:t>按采购要求为准</w:t>
            </w:r>
            <w:r>
              <w:rPr>
                <w:rFonts w:hint="eastAsia" w:ascii="宋体" w:hAnsi="宋体" w:cs="宋体"/>
                <w:szCs w:val="21"/>
                <w:lang w:val="zh-CN"/>
              </w:rPr>
              <w:t>。</w:t>
            </w:r>
          </w:p>
          <w:p>
            <w:pPr>
              <w:autoSpaceDE w:val="0"/>
              <w:autoSpaceDN w:val="0"/>
              <w:ind w:right="68"/>
              <w:rPr>
                <w:rFonts w:hint="eastAsia" w:ascii="宋体" w:hAnsi="宋体" w:cs="宋体"/>
                <w:szCs w:val="21"/>
              </w:rPr>
            </w:pPr>
            <w:r>
              <w:rPr>
                <w:rFonts w:hint="eastAsia" w:ascii="宋体" w:hAnsi="宋体" w:cs="宋体"/>
                <w:b/>
                <w:szCs w:val="21"/>
              </w:rPr>
              <w:t>服务内容</w:t>
            </w:r>
            <w:r>
              <w:rPr>
                <w:rFonts w:hint="eastAsia" w:ascii="宋体" w:hAnsi="宋体" w:cs="宋体"/>
                <w:szCs w:val="21"/>
              </w:rPr>
              <w:t>：必须符合采购文件第二部分采购需求的规定。</w:t>
            </w:r>
          </w:p>
          <w:p>
            <w:pPr>
              <w:autoSpaceDE w:val="0"/>
              <w:autoSpaceDN w:val="0"/>
              <w:ind w:right="68"/>
              <w:rPr>
                <w:rFonts w:hint="eastAsia" w:ascii="宋体" w:hAnsi="宋体" w:cs="宋体"/>
                <w:szCs w:val="21"/>
              </w:rPr>
            </w:pPr>
            <w:r>
              <w:rPr>
                <w:rFonts w:hint="eastAsia" w:ascii="宋体" w:hAnsi="宋体" w:cs="宋体"/>
                <w:b/>
                <w:szCs w:val="21"/>
              </w:rPr>
              <w:t>资金来源：</w:t>
            </w:r>
            <w:r>
              <w:rPr>
                <w:rFonts w:hint="eastAsia" w:ascii="宋体" w:hAnsi="宋体" w:cs="宋体"/>
                <w:szCs w:val="21"/>
              </w:rPr>
              <w:t>预算内资金。</w:t>
            </w:r>
          </w:p>
        </w:tc>
      </w:tr>
      <w:tr>
        <w:tblPrEx>
          <w:tblCellMar>
            <w:top w:w="0" w:type="dxa"/>
            <w:left w:w="108" w:type="dxa"/>
            <w:bottom w:w="0" w:type="dxa"/>
            <w:right w:w="108" w:type="dxa"/>
          </w:tblCellMar>
        </w:tblPrEx>
        <w:trPr>
          <w:cantSplit/>
          <w:trHeight w:val="45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2</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lang w:val="zh-CN"/>
              </w:rPr>
            </w:pPr>
            <w:r>
              <w:rPr>
                <w:rFonts w:hint="eastAsia" w:ascii="宋体" w:hAnsi="宋体" w:cs="宋体"/>
                <w:b/>
                <w:szCs w:val="21"/>
                <w:lang w:val="zh-CN"/>
              </w:rPr>
              <w:t>供应商资格要求：</w:t>
            </w:r>
            <w:r>
              <w:rPr>
                <w:rFonts w:hint="eastAsia" w:ascii="宋体" w:hAnsi="宋体" w:cs="宋体"/>
                <w:szCs w:val="21"/>
                <w:lang w:val="zh-CN"/>
              </w:rPr>
              <w:t>见招标公告第五条</w:t>
            </w:r>
          </w:p>
        </w:tc>
      </w:tr>
      <w:tr>
        <w:tblPrEx>
          <w:tblCellMar>
            <w:top w:w="0" w:type="dxa"/>
            <w:left w:w="108" w:type="dxa"/>
            <w:bottom w:w="0" w:type="dxa"/>
            <w:right w:w="108" w:type="dxa"/>
          </w:tblCellMar>
        </w:tblPrEx>
        <w:trPr>
          <w:cantSplit/>
          <w:trHeight w:val="45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3</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b/>
                <w:szCs w:val="21"/>
                <w:lang w:val="zh-CN"/>
              </w:rPr>
            </w:pPr>
            <w:r>
              <w:rPr>
                <w:rFonts w:hint="eastAsia" w:ascii="宋体" w:hAnsi="宋体" w:cs="宋体"/>
                <w:b/>
                <w:szCs w:val="21"/>
                <w:lang w:val="zh-CN"/>
              </w:rPr>
              <w:t>投标有效期：</w:t>
            </w:r>
            <w:r>
              <w:rPr>
                <w:rFonts w:hint="eastAsia" w:ascii="宋体" w:hAnsi="宋体" w:cs="宋体"/>
                <w:szCs w:val="21"/>
                <w:lang w:val="zh-CN"/>
              </w:rPr>
              <w:t>自投标截止日起90天。</w:t>
            </w:r>
          </w:p>
        </w:tc>
      </w:tr>
      <w:tr>
        <w:tblPrEx>
          <w:tblCellMar>
            <w:top w:w="0" w:type="dxa"/>
            <w:left w:w="108" w:type="dxa"/>
            <w:bottom w:w="0" w:type="dxa"/>
            <w:right w:w="108" w:type="dxa"/>
          </w:tblCellMar>
        </w:tblPrEx>
        <w:trPr>
          <w:cantSplit/>
          <w:trHeight w:val="45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4</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snapToGrid w:val="0"/>
              <w:ind w:left="1"/>
              <w:textAlignment w:val="bottom"/>
              <w:rPr>
                <w:rFonts w:hint="eastAsia" w:ascii="宋体" w:hAnsi="宋体" w:cs="宋体"/>
                <w:szCs w:val="21"/>
                <w:lang w:val="zh-CN"/>
              </w:rPr>
            </w:pPr>
            <w:r>
              <w:rPr>
                <w:rFonts w:hint="eastAsia" w:ascii="宋体" w:hAnsi="宋体" w:cs="宋体"/>
                <w:b/>
                <w:szCs w:val="21"/>
                <w:lang w:val="zh-CN"/>
              </w:rPr>
              <w:t>投标保证金：</w:t>
            </w:r>
            <w:r>
              <w:rPr>
                <w:rFonts w:hint="eastAsia" w:ascii="宋体" w:hAnsi="宋体" w:cs="宋体"/>
                <w:szCs w:val="21"/>
              </w:rPr>
              <w:t>无。</w:t>
            </w:r>
          </w:p>
        </w:tc>
      </w:tr>
      <w:tr>
        <w:tblPrEx>
          <w:tblCellMar>
            <w:top w:w="0" w:type="dxa"/>
            <w:left w:w="108" w:type="dxa"/>
            <w:bottom w:w="0" w:type="dxa"/>
            <w:right w:w="108" w:type="dxa"/>
          </w:tblCellMar>
        </w:tblPrEx>
        <w:trPr>
          <w:cantSplit/>
          <w:trHeight w:val="144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5</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pStyle w:val="254"/>
              <w:snapToGrid w:val="0"/>
              <w:spacing w:before="0" w:line="240" w:lineRule="auto"/>
              <w:ind w:firstLine="0" w:firstLineChars="0"/>
              <w:rPr>
                <w:rFonts w:hint="eastAsia" w:ascii="宋体" w:hAnsi="宋体" w:cs="宋体"/>
                <w:color w:val="000000"/>
                <w:sz w:val="21"/>
                <w:szCs w:val="21"/>
              </w:rPr>
            </w:pPr>
            <w:r>
              <w:rPr>
                <w:rFonts w:hint="eastAsia" w:ascii="宋体" w:hAnsi="宋体" w:cs="宋体"/>
                <w:b/>
                <w:kern w:val="0"/>
                <w:sz w:val="21"/>
                <w:szCs w:val="21"/>
              </w:rPr>
              <w:t>答疑与澄清：</w:t>
            </w:r>
            <w:r>
              <w:rPr>
                <w:rFonts w:hint="eastAsia" w:ascii="宋体" w:hAnsi="宋体" w:cs="宋体"/>
                <w:color w:val="000000"/>
                <w:sz w:val="21"/>
                <w:szCs w:val="21"/>
              </w:rPr>
              <w:t>1、供应商认为采购文件使自己的权益受到损害的，应当自发布采购文件之日起7个工作日内，一次性以书面形式向采购人和采购代理机构提出质疑。</w:t>
            </w:r>
          </w:p>
          <w:p>
            <w:pPr>
              <w:autoSpaceDE w:val="0"/>
              <w:autoSpaceDN w:val="0"/>
              <w:ind w:right="69"/>
              <w:rPr>
                <w:rFonts w:hint="eastAsia" w:ascii="宋体" w:hAnsi="宋体" w:cs="宋体"/>
                <w:szCs w:val="21"/>
                <w:lang w:val="zh-CN"/>
              </w:rPr>
            </w:pPr>
            <w:r>
              <w:rPr>
                <w:rFonts w:hint="eastAsia" w:ascii="宋体" w:hAnsi="宋体" w:cs="宋体"/>
                <w:color w:val="000000"/>
                <w:szCs w:val="21"/>
              </w:rPr>
              <w:t>2、投标人一旦参与本次采购活动，即被视为接受了本采购文件的所有内容，如有任何异议，均应在答疑截止时间前提出。</w:t>
            </w:r>
          </w:p>
        </w:tc>
      </w:tr>
      <w:tr>
        <w:tblPrEx>
          <w:tblCellMar>
            <w:top w:w="0" w:type="dxa"/>
            <w:left w:w="108" w:type="dxa"/>
            <w:bottom w:w="0" w:type="dxa"/>
            <w:right w:w="108" w:type="dxa"/>
          </w:tblCellMar>
        </w:tblPrEx>
        <w:trPr>
          <w:cantSplit/>
          <w:trHeight w:val="4281"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6</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left"/>
              <w:rPr>
                <w:rFonts w:hint="eastAsia" w:ascii="宋体" w:hAnsi="宋体" w:cs="宋体"/>
                <w:szCs w:val="21"/>
                <w:lang w:val="zh-CN"/>
              </w:rPr>
            </w:pPr>
            <w:r>
              <w:rPr>
                <w:rFonts w:hint="eastAsia" w:ascii="宋体" w:hAnsi="宋体" w:cs="宋体"/>
                <w:b/>
                <w:szCs w:val="21"/>
                <w:lang w:val="zh-CN"/>
              </w:rPr>
              <w:t>1、投标文件组成：</w:t>
            </w:r>
            <w:r>
              <w:rPr>
                <w:rFonts w:hint="eastAsia" w:ascii="宋体" w:hAnsi="宋体" w:cs="宋体"/>
                <w:szCs w:val="21"/>
                <w:lang w:val="zh-CN"/>
              </w:rPr>
              <w:t>资格文件、商务</w:t>
            </w:r>
            <w:r>
              <w:rPr>
                <w:rFonts w:hint="eastAsia" w:ascii="宋体" w:hAnsi="宋体" w:cs="宋体"/>
                <w:szCs w:val="21"/>
              </w:rPr>
              <w:t>资信</w:t>
            </w:r>
            <w:r>
              <w:rPr>
                <w:rFonts w:hint="eastAsia" w:ascii="宋体" w:hAnsi="宋体" w:cs="宋体"/>
                <w:szCs w:val="21"/>
                <w:lang w:val="zh-CN"/>
              </w:rPr>
              <w:t>技术文件、报价文件（含开标一览表）。</w:t>
            </w:r>
          </w:p>
          <w:p>
            <w:pPr>
              <w:keepNext w:val="0"/>
              <w:keepLines w:val="0"/>
              <w:pageBreakBefore w:val="0"/>
              <w:kinsoku/>
              <w:wordWrap/>
              <w:overflowPunct/>
              <w:topLinePunct w:val="0"/>
              <w:autoSpaceDE w:val="0"/>
              <w:autoSpaceDN w:val="0"/>
              <w:bidi w:val="0"/>
              <w:snapToGrid/>
              <w:spacing w:line="240" w:lineRule="auto"/>
              <w:jc w:val="left"/>
              <w:textAlignment w:val="auto"/>
              <w:rPr>
                <w:rFonts w:hint="eastAsia" w:ascii="宋体" w:hAnsi="宋体" w:eastAsia="宋体" w:cs="宋体"/>
                <w:b w:val="0"/>
                <w:bCs w:val="0"/>
                <w:kern w:val="0"/>
                <w:sz w:val="21"/>
                <w:szCs w:val="21"/>
                <w:highlight w:val="yellow"/>
                <w:u w:val="single"/>
              </w:rPr>
            </w:pPr>
            <w:r>
              <w:rPr>
                <w:rFonts w:hint="eastAsia" w:ascii="宋体" w:hAnsi="宋体" w:eastAsia="宋体" w:cs="宋体"/>
                <w:b w:val="0"/>
                <w:bCs w:val="0"/>
                <w:kern w:val="0"/>
                <w:sz w:val="21"/>
                <w:szCs w:val="21"/>
                <w:highlight w:val="yellow"/>
                <w:u w:val="single"/>
                <w:lang w:eastAsia="zh-CN"/>
              </w:rPr>
              <w:t>其中</w:t>
            </w:r>
            <w:r>
              <w:rPr>
                <w:rFonts w:hint="eastAsia" w:ascii="宋体" w:hAnsi="宋体" w:eastAsia="宋体" w:cs="宋体"/>
                <w:b w:val="0"/>
                <w:bCs w:val="0"/>
                <w:kern w:val="0"/>
                <w:sz w:val="21"/>
                <w:szCs w:val="21"/>
                <w:highlight w:val="yellow"/>
                <w:u w:val="single"/>
              </w:rPr>
              <w:t>评分中涉及相关设备功能性视频演示，供应商应采用实物设备录制视频演示，将视频内容用U盘保存封装（档案袋标注项目名称、项目编号、加盖单位公章），录制视频时长</w:t>
            </w:r>
            <w:r>
              <w:rPr>
                <w:rFonts w:hint="eastAsia" w:ascii="宋体" w:hAnsi="宋体" w:eastAsia="宋体" w:cs="宋体"/>
                <w:b w:val="0"/>
                <w:bCs w:val="0"/>
                <w:color w:val="0000FF"/>
                <w:kern w:val="0"/>
                <w:sz w:val="21"/>
                <w:szCs w:val="21"/>
                <w:highlight w:val="yellow"/>
                <w:u w:val="single"/>
              </w:rPr>
              <w:t>10分钟</w:t>
            </w:r>
            <w:r>
              <w:rPr>
                <w:rFonts w:hint="eastAsia" w:ascii="宋体" w:hAnsi="宋体" w:eastAsia="宋体" w:cs="宋体"/>
                <w:b w:val="0"/>
                <w:bCs w:val="0"/>
                <w:kern w:val="0"/>
                <w:sz w:val="21"/>
                <w:szCs w:val="21"/>
                <w:highlight w:val="yellow"/>
                <w:u w:val="single"/>
              </w:rPr>
              <w:t>以内，录制视频必须为MP4格式（若视频为其他格式导致评审中不能正常播放的，责任自负）。</w:t>
            </w:r>
          </w:p>
          <w:p>
            <w:pPr>
              <w:keepNext w:val="0"/>
              <w:keepLines w:val="0"/>
              <w:pageBreakBefore w:val="0"/>
              <w:kinsoku/>
              <w:wordWrap/>
              <w:overflowPunct/>
              <w:topLinePunct w:val="0"/>
              <w:bidi w:val="0"/>
              <w:snapToGrid/>
              <w:spacing w:line="240" w:lineRule="auto"/>
              <w:ind w:left="400"/>
              <w:textAlignment w:val="auto"/>
              <w:rPr>
                <w:rFonts w:hint="eastAsia" w:ascii="宋体" w:hAnsi="宋体" w:eastAsia="宋体" w:cs="宋体"/>
                <w:b w:val="0"/>
                <w:bCs w:val="0"/>
                <w:kern w:val="0"/>
                <w:sz w:val="21"/>
                <w:szCs w:val="21"/>
                <w:highlight w:val="yellow"/>
                <w:u w:val="single"/>
              </w:rPr>
            </w:pPr>
            <w:r>
              <w:rPr>
                <w:rFonts w:hint="eastAsia" w:ascii="宋体" w:hAnsi="宋体" w:eastAsia="宋体" w:cs="宋体"/>
                <w:b w:val="0"/>
                <w:bCs w:val="0"/>
                <w:kern w:val="0"/>
                <w:sz w:val="21"/>
                <w:szCs w:val="21"/>
                <w:highlight w:val="yellow"/>
                <w:u w:val="single"/>
              </w:rPr>
              <w:t>递交方式（选其一）：</w:t>
            </w:r>
          </w:p>
          <w:p>
            <w:pPr>
              <w:keepNext w:val="0"/>
              <w:keepLines w:val="0"/>
              <w:pageBreakBefore w:val="0"/>
              <w:numPr>
                <w:ilvl w:val="0"/>
                <w:numId w:val="9"/>
              </w:numPr>
              <w:kinsoku/>
              <w:wordWrap/>
              <w:overflowPunct/>
              <w:topLinePunct w:val="0"/>
              <w:bidi w:val="0"/>
              <w:snapToGrid/>
              <w:spacing w:line="240" w:lineRule="auto"/>
              <w:textAlignment w:val="auto"/>
              <w:rPr>
                <w:rFonts w:hint="eastAsia" w:ascii="宋体" w:hAnsi="宋体" w:eastAsia="宋体" w:cs="宋体"/>
                <w:b w:val="0"/>
                <w:bCs w:val="0"/>
                <w:kern w:val="0"/>
                <w:sz w:val="21"/>
                <w:szCs w:val="21"/>
                <w:highlight w:val="yellow"/>
              </w:rPr>
            </w:pPr>
            <w:r>
              <w:rPr>
                <w:rFonts w:hint="eastAsia" w:ascii="宋体" w:hAnsi="宋体" w:eastAsia="宋体" w:cs="宋体"/>
                <w:b w:val="0"/>
                <w:bCs w:val="0"/>
                <w:kern w:val="0"/>
                <w:sz w:val="21"/>
                <w:szCs w:val="21"/>
                <w:highlight w:val="yellow"/>
              </w:rPr>
              <w:t>如供应商派授权代表出席现场开标活动的，可在投标截止时间前现场递交给代理机构。</w:t>
            </w:r>
          </w:p>
          <w:p>
            <w:pPr>
              <w:keepNext w:val="0"/>
              <w:keepLines w:val="0"/>
              <w:pageBreakBefore w:val="0"/>
              <w:numPr>
                <w:ilvl w:val="0"/>
                <w:numId w:val="9"/>
              </w:numPr>
              <w:kinsoku/>
              <w:wordWrap/>
              <w:overflowPunct/>
              <w:topLinePunct w:val="0"/>
              <w:bidi w:val="0"/>
              <w:snapToGrid/>
              <w:spacing w:line="240" w:lineRule="auto"/>
              <w:textAlignment w:val="auto"/>
              <w:rPr>
                <w:rFonts w:hint="eastAsia" w:ascii="宋体" w:hAnsi="宋体" w:eastAsia="宋体" w:cs="宋体"/>
                <w:b w:val="0"/>
                <w:bCs w:val="0"/>
                <w:kern w:val="0"/>
                <w:sz w:val="21"/>
                <w:szCs w:val="21"/>
                <w:highlight w:val="yellow"/>
              </w:rPr>
            </w:pPr>
            <w:r>
              <w:rPr>
                <w:rFonts w:hint="eastAsia" w:ascii="宋体" w:hAnsi="宋体" w:eastAsia="宋体" w:cs="宋体"/>
                <w:b w:val="0"/>
                <w:bCs w:val="0"/>
                <w:kern w:val="0"/>
                <w:sz w:val="21"/>
                <w:szCs w:val="21"/>
                <w:highlight w:val="yellow"/>
              </w:rPr>
              <w:t>通过邮寄（拒绝到付件）快递方式送达浙江恒盛工程咨询有限公司（具体位置：</w:t>
            </w:r>
            <w:r>
              <w:rPr>
                <w:rFonts w:hint="eastAsia" w:ascii="宋体" w:hAnsi="宋体" w:eastAsia="宋体" w:cs="宋体"/>
                <w:b w:val="0"/>
                <w:bCs w:val="0"/>
                <w:kern w:val="0"/>
                <w:sz w:val="21"/>
                <w:szCs w:val="21"/>
                <w:highlight w:val="yellow"/>
                <w:lang w:val="en-US" w:eastAsia="zh-CN"/>
              </w:rPr>
              <w:t>湖州市榆树街26号新天地写字楼21层招标部</w:t>
            </w:r>
            <w:r>
              <w:rPr>
                <w:rFonts w:hint="eastAsia" w:ascii="宋体" w:hAnsi="宋体" w:eastAsia="宋体" w:cs="宋体"/>
                <w:b w:val="0"/>
                <w:bCs w:val="0"/>
                <w:kern w:val="0"/>
                <w:sz w:val="21"/>
                <w:szCs w:val="21"/>
                <w:highlight w:val="yellow"/>
              </w:rPr>
              <w:t>】，做好接收记录，联系电话：2199129，接收截止时间为：</w:t>
            </w:r>
            <w:r>
              <w:rPr>
                <w:rFonts w:hint="eastAsia" w:ascii="宋体" w:hAnsi="宋体" w:eastAsia="宋体" w:cs="宋体"/>
                <w:b w:val="0"/>
                <w:bCs w:val="0"/>
                <w:color w:val="FF0000"/>
                <w:kern w:val="0"/>
                <w:sz w:val="21"/>
                <w:szCs w:val="21"/>
                <w:highlight w:val="yellow"/>
                <w:lang w:eastAsia="zh-CN"/>
              </w:rPr>
              <w:t>2024</w:t>
            </w:r>
            <w:r>
              <w:rPr>
                <w:rFonts w:hint="eastAsia" w:ascii="宋体" w:hAnsi="宋体" w:eastAsia="宋体" w:cs="宋体"/>
                <w:b w:val="0"/>
                <w:bCs w:val="0"/>
                <w:color w:val="FF0000"/>
                <w:kern w:val="0"/>
                <w:sz w:val="21"/>
                <w:szCs w:val="21"/>
                <w:highlight w:val="yellow"/>
              </w:rPr>
              <w:t>年</w:t>
            </w:r>
            <w:r>
              <w:rPr>
                <w:rFonts w:hint="eastAsia" w:ascii="宋体" w:hAnsi="宋体" w:cs="宋体"/>
                <w:b w:val="0"/>
                <w:bCs w:val="0"/>
                <w:color w:val="FF0000"/>
                <w:kern w:val="0"/>
                <w:sz w:val="21"/>
                <w:szCs w:val="21"/>
                <w:highlight w:val="yellow"/>
                <w:lang w:val="en-US" w:eastAsia="zh-CN"/>
              </w:rPr>
              <w:t>5</w:t>
            </w:r>
            <w:r>
              <w:rPr>
                <w:rFonts w:hint="eastAsia" w:ascii="宋体" w:hAnsi="宋体" w:eastAsia="宋体" w:cs="宋体"/>
                <w:b w:val="0"/>
                <w:bCs w:val="0"/>
                <w:color w:val="FF0000"/>
                <w:kern w:val="0"/>
                <w:sz w:val="21"/>
                <w:szCs w:val="21"/>
                <w:highlight w:val="yellow"/>
              </w:rPr>
              <w:t>月</w:t>
            </w:r>
            <w:r>
              <w:rPr>
                <w:rFonts w:hint="eastAsia" w:ascii="宋体" w:hAnsi="宋体" w:cs="宋体"/>
                <w:b w:val="0"/>
                <w:bCs w:val="0"/>
                <w:color w:val="FF0000"/>
                <w:kern w:val="0"/>
                <w:sz w:val="21"/>
                <w:szCs w:val="21"/>
                <w:highlight w:val="yellow"/>
                <w:lang w:val="en-US" w:eastAsia="zh-CN"/>
              </w:rPr>
              <w:t>22</w:t>
            </w:r>
            <w:r>
              <w:rPr>
                <w:rFonts w:hint="eastAsia" w:ascii="宋体" w:hAnsi="宋体" w:eastAsia="宋体" w:cs="宋体"/>
                <w:b w:val="0"/>
                <w:bCs w:val="0"/>
                <w:color w:val="FF0000"/>
                <w:kern w:val="0"/>
                <w:sz w:val="21"/>
                <w:szCs w:val="21"/>
                <w:highlight w:val="yellow"/>
              </w:rPr>
              <w:t>日</w:t>
            </w:r>
            <w:r>
              <w:rPr>
                <w:rFonts w:hint="eastAsia" w:ascii="宋体" w:hAnsi="宋体" w:eastAsia="宋体" w:cs="宋体"/>
                <w:b w:val="0"/>
                <w:bCs w:val="0"/>
                <w:color w:val="0000FF"/>
                <w:kern w:val="0"/>
                <w:sz w:val="21"/>
                <w:szCs w:val="21"/>
                <w:highlight w:val="yellow"/>
              </w:rPr>
              <w:t>16：30</w:t>
            </w:r>
            <w:r>
              <w:rPr>
                <w:rFonts w:hint="eastAsia" w:ascii="宋体" w:hAnsi="宋体" w:eastAsia="宋体" w:cs="宋体"/>
                <w:b w:val="0"/>
                <w:bCs w:val="0"/>
                <w:kern w:val="0"/>
                <w:sz w:val="21"/>
                <w:szCs w:val="21"/>
                <w:highlight w:val="yellow"/>
              </w:rPr>
              <w:t>。</w:t>
            </w:r>
          </w:p>
          <w:p>
            <w:pPr>
              <w:pStyle w:val="96"/>
              <w:keepNext w:val="0"/>
              <w:keepLines w:val="0"/>
              <w:pageBreakBefore w:val="0"/>
              <w:kinsoku/>
              <w:wordWrap/>
              <w:overflowPunct/>
              <w:topLinePunct w:val="0"/>
              <w:bidi w:val="0"/>
              <w:snapToGrid/>
              <w:spacing w:line="240" w:lineRule="auto"/>
              <w:ind w:left="0" w:leftChars="0" w:firstLine="0" w:firstLineChars="0"/>
              <w:textAlignment w:val="auto"/>
              <w:rPr>
                <w:rFonts w:hint="eastAsia" w:ascii="宋体" w:hAnsi="宋体" w:eastAsia="宋体" w:cs="宋体"/>
                <w:b w:val="0"/>
                <w:bCs w:val="0"/>
                <w:sz w:val="21"/>
                <w:szCs w:val="21"/>
                <w:lang w:val="zh-CN"/>
              </w:rPr>
            </w:pPr>
            <w:r>
              <w:rPr>
                <w:rFonts w:hint="eastAsia" w:ascii="宋体" w:hAnsi="宋体" w:eastAsia="宋体" w:cs="宋体"/>
                <w:b w:val="0"/>
                <w:bCs w:val="0"/>
                <w:kern w:val="0"/>
                <w:sz w:val="21"/>
                <w:szCs w:val="21"/>
                <w:highlight w:val="yellow"/>
                <w:u w:val="single"/>
              </w:rPr>
              <w:t>供应商应考虑邮寄资料时间,确保响应文件于接收截止时间前送达，因自身贻误行为导致投标失败的，责任自负。</w:t>
            </w:r>
          </w:p>
          <w:p>
            <w:pPr>
              <w:autoSpaceDE w:val="0"/>
              <w:autoSpaceDN w:val="0"/>
              <w:jc w:val="left"/>
              <w:rPr>
                <w:rFonts w:hint="eastAsia" w:ascii="宋体" w:hAnsi="宋体" w:cs="宋体"/>
                <w:szCs w:val="21"/>
                <w:lang w:bidi="ar"/>
              </w:rPr>
            </w:pPr>
            <w:r>
              <w:rPr>
                <w:rFonts w:hint="eastAsia" w:ascii="宋体" w:hAnsi="宋体" w:cs="宋体"/>
                <w:b/>
                <w:szCs w:val="21"/>
                <w:lang w:bidi="ar"/>
              </w:rPr>
              <w:t>2、投标文件编制：</w:t>
            </w:r>
            <w:r>
              <w:rPr>
                <w:rFonts w:hint="eastAsia" w:ascii="宋体" w:hAnsi="宋体" w:cs="宋体"/>
                <w:szCs w:val="21"/>
                <w:lang w:bidi="ar"/>
              </w:rPr>
              <w:t>供应商应先安装“政采云电子交易客户端”，并按照本采购文件和“政府采购云平台”的要求，通过“政采云电子交易客户端”编制并加密投标文件。</w:t>
            </w:r>
          </w:p>
        </w:tc>
      </w:tr>
      <w:tr>
        <w:tblPrEx>
          <w:tblCellMar>
            <w:top w:w="0" w:type="dxa"/>
            <w:left w:w="108" w:type="dxa"/>
            <w:bottom w:w="0" w:type="dxa"/>
            <w:right w:w="108" w:type="dxa"/>
          </w:tblCellMar>
        </w:tblPrEx>
        <w:trPr>
          <w:trHeight w:val="1348" w:hRule="atLeast"/>
          <w:jc w:val="center"/>
        </w:trPr>
        <w:tc>
          <w:tcPr>
            <w:tcW w:w="339" w:type="pct"/>
            <w:tcBorders>
              <w:top w:val="single" w:color="auto" w:sz="6" w:space="0"/>
              <w:left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6</w:t>
            </w:r>
          </w:p>
        </w:tc>
        <w:tc>
          <w:tcPr>
            <w:tcW w:w="4660" w:type="pct"/>
            <w:tcBorders>
              <w:top w:val="single" w:color="auto" w:sz="6" w:space="0"/>
              <w:left w:val="single" w:color="auto" w:sz="6" w:space="0"/>
              <w:right w:val="single" w:color="auto" w:sz="6" w:space="0"/>
            </w:tcBorders>
            <w:noWrap w:val="0"/>
            <w:vAlign w:val="center"/>
          </w:tcPr>
          <w:p>
            <w:pPr>
              <w:rPr>
                <w:rFonts w:hint="eastAsia" w:ascii="宋体" w:hAnsi="宋体" w:cs="宋体"/>
                <w:szCs w:val="21"/>
                <w:lang w:bidi="ar"/>
              </w:rPr>
            </w:pPr>
            <w:r>
              <w:rPr>
                <w:rFonts w:hint="eastAsia" w:ascii="宋体" w:hAnsi="宋体" w:cs="宋体"/>
                <w:b/>
                <w:szCs w:val="21"/>
                <w:lang w:bidi="ar"/>
              </w:rPr>
              <w:t>3、投标文件的形式：</w:t>
            </w:r>
            <w:r>
              <w:rPr>
                <w:rFonts w:hint="eastAsia" w:ascii="宋体" w:hAnsi="宋体" w:cs="宋体"/>
                <w:szCs w:val="21"/>
                <w:lang w:bidi="ar"/>
              </w:rPr>
              <w:t>电子投标文件（包括“电子加密投标文件”和“备份投标文件”，在投标文件编制完成后同时生成）；</w:t>
            </w:r>
          </w:p>
          <w:p>
            <w:pPr>
              <w:rPr>
                <w:rFonts w:hint="eastAsia" w:ascii="宋体" w:hAnsi="宋体" w:cs="宋体"/>
                <w:szCs w:val="21"/>
                <w:lang w:bidi="ar"/>
              </w:rPr>
            </w:pPr>
            <w:r>
              <w:rPr>
                <w:rFonts w:hint="eastAsia" w:ascii="宋体" w:hAnsi="宋体" w:cs="宋体"/>
                <w:szCs w:val="21"/>
                <w:lang w:bidi="ar"/>
              </w:rPr>
              <w:t>（1）“电子加密投标文件”是指通过“政采云电子交易客户端”完成投标文件编制后生成并加密的数据电文形式的投标文件。</w:t>
            </w:r>
          </w:p>
          <w:p>
            <w:pPr>
              <w:autoSpaceDE w:val="0"/>
              <w:autoSpaceDN w:val="0"/>
              <w:jc w:val="left"/>
              <w:rPr>
                <w:rFonts w:hint="eastAsia" w:ascii="宋体" w:hAnsi="宋体" w:cs="宋体"/>
                <w:szCs w:val="21"/>
                <w:lang w:bidi="ar"/>
              </w:rPr>
            </w:pPr>
            <w:r>
              <w:rPr>
                <w:rFonts w:hint="eastAsia" w:ascii="宋体" w:hAnsi="宋体" w:cs="宋体"/>
                <w:szCs w:val="21"/>
                <w:lang w:bidi="ar"/>
              </w:rPr>
              <w:t>（2）“备份投标文件”是指与“电子加密投标文件”同时生成的数据电文形式的电子文件（备份标书），其他方式编制的备份投标文件视为无效备份投标文件。</w:t>
            </w:r>
          </w:p>
          <w:p>
            <w:pPr>
              <w:autoSpaceDE w:val="0"/>
              <w:autoSpaceDN w:val="0"/>
              <w:jc w:val="left"/>
              <w:rPr>
                <w:rFonts w:hint="eastAsia" w:ascii="宋体" w:hAnsi="宋体" w:cs="宋体"/>
                <w:b/>
                <w:bCs/>
                <w:szCs w:val="21"/>
                <w:lang w:bidi="ar"/>
              </w:rPr>
            </w:pPr>
            <w:r>
              <w:rPr>
                <w:rFonts w:hint="eastAsia" w:ascii="宋体" w:hAnsi="宋体" w:cs="宋体"/>
                <w:b/>
                <w:bCs/>
                <w:szCs w:val="21"/>
                <w:lang w:bidi="ar"/>
              </w:rPr>
              <w:t>4、投标文件份数：</w:t>
            </w:r>
          </w:p>
          <w:p>
            <w:pPr>
              <w:autoSpaceDE w:val="0"/>
              <w:autoSpaceDN w:val="0"/>
              <w:jc w:val="left"/>
              <w:rPr>
                <w:rFonts w:hint="eastAsia" w:ascii="宋体" w:hAnsi="宋体" w:cs="宋体"/>
                <w:szCs w:val="21"/>
                <w:lang w:bidi="ar"/>
              </w:rPr>
            </w:pPr>
            <w:r>
              <w:rPr>
                <w:rFonts w:hint="eastAsia" w:ascii="宋体" w:hAnsi="宋体" w:cs="宋体"/>
                <w:szCs w:val="21"/>
                <w:lang w:bidi="ar"/>
              </w:rPr>
              <w:t>（1）“电子加密投标文件”：在线上传递交一份。</w:t>
            </w:r>
          </w:p>
          <w:p>
            <w:pPr>
              <w:autoSpaceDE w:val="0"/>
              <w:autoSpaceDN w:val="0"/>
              <w:jc w:val="left"/>
              <w:rPr>
                <w:rFonts w:hint="eastAsia" w:ascii="宋体" w:hAnsi="宋体" w:cs="宋体"/>
                <w:szCs w:val="21"/>
              </w:rPr>
            </w:pPr>
            <w:r>
              <w:rPr>
                <w:rFonts w:hint="eastAsia" w:ascii="宋体" w:hAnsi="宋体" w:cs="宋体"/>
                <w:szCs w:val="21"/>
              </w:rPr>
              <w:t>（2）“备份投标文件”：如果供应商在“政府采购云平台”完成的“电子加密投标文件”出现故障后，采购代理机构将上传供应商在投标截止前按规定提交的“备份投标文件”。</w:t>
            </w:r>
          </w:p>
          <w:p>
            <w:pPr>
              <w:rPr>
                <w:rFonts w:hint="eastAsia" w:ascii="宋体" w:hAnsi="宋体" w:cs="宋体"/>
                <w:b/>
                <w:bCs/>
                <w:szCs w:val="21"/>
                <w:lang w:bidi="ar"/>
              </w:rPr>
            </w:pPr>
            <w:r>
              <w:rPr>
                <w:rFonts w:hint="eastAsia" w:ascii="宋体" w:hAnsi="宋体" w:cs="宋体"/>
                <w:b/>
                <w:szCs w:val="21"/>
                <w:lang w:bidi="ar"/>
              </w:rPr>
              <w:t>5、</w:t>
            </w:r>
            <w:r>
              <w:rPr>
                <w:rFonts w:hint="eastAsia" w:ascii="宋体" w:hAnsi="宋体" w:cs="宋体"/>
                <w:b/>
                <w:bCs/>
                <w:szCs w:val="21"/>
                <w:lang w:bidi="ar"/>
              </w:rPr>
              <w:t>投标文件的上传和递交：</w:t>
            </w:r>
          </w:p>
          <w:p>
            <w:pPr>
              <w:rPr>
                <w:rFonts w:hint="eastAsia" w:ascii="宋体" w:hAnsi="宋体" w:cs="宋体"/>
                <w:szCs w:val="21"/>
                <w:lang w:bidi="ar"/>
              </w:rPr>
            </w:pPr>
            <w:r>
              <w:rPr>
                <w:rFonts w:hint="eastAsia" w:ascii="宋体" w:hAnsi="宋体" w:cs="宋体"/>
                <w:szCs w:val="21"/>
                <w:lang w:bidi="ar"/>
              </w:rPr>
              <w:t>（1）“电子加密投标文件”的上传、递交：</w:t>
            </w:r>
          </w:p>
          <w:p>
            <w:pPr>
              <w:rPr>
                <w:rFonts w:hint="eastAsia" w:ascii="宋体" w:hAnsi="宋体" w:cs="宋体"/>
                <w:szCs w:val="21"/>
                <w:lang w:bidi="ar"/>
              </w:rPr>
            </w:pPr>
            <w:r>
              <w:rPr>
                <w:rFonts w:hint="eastAsia" w:ascii="宋体" w:hAnsi="宋体" w:cs="宋体"/>
                <w:szCs w:val="21"/>
                <w:lang w:bidi="ar"/>
              </w:rPr>
              <w:t>a.供应商应在投标截止时间前将“电子加密投标文件”成功上传递交至“政府采购云平台”，否则投标无效。</w:t>
            </w:r>
          </w:p>
          <w:p>
            <w:pPr>
              <w:rPr>
                <w:rFonts w:hint="eastAsia" w:ascii="宋体" w:hAnsi="宋体" w:cs="宋体"/>
                <w:szCs w:val="21"/>
                <w:lang w:bidi="ar"/>
              </w:rPr>
            </w:pPr>
            <w:r>
              <w:rPr>
                <w:rFonts w:hint="eastAsia" w:ascii="宋体" w:hAnsi="宋体" w:cs="宋体"/>
                <w:szCs w:val="21"/>
                <w:lang w:bidi="ar"/>
              </w:rPr>
              <w:t>b.“电子加密投标文件”成功上传递交后，供应商可自行打印投标文件接收回执。</w:t>
            </w:r>
          </w:p>
          <w:p>
            <w:pPr>
              <w:rPr>
                <w:rFonts w:hint="eastAsia" w:ascii="宋体" w:hAnsi="宋体" w:cs="宋体"/>
                <w:szCs w:val="21"/>
                <w:lang w:bidi="ar"/>
              </w:rPr>
            </w:pPr>
            <w:r>
              <w:rPr>
                <w:rFonts w:hint="eastAsia" w:ascii="宋体" w:hAnsi="宋体" w:cs="宋体"/>
                <w:szCs w:val="21"/>
                <w:lang w:bidi="ar"/>
              </w:rPr>
              <w:t>（2）“备份投标文件”的上传、递交：</w:t>
            </w:r>
          </w:p>
          <w:p>
            <w:pPr>
              <w:autoSpaceDE w:val="0"/>
              <w:autoSpaceDN w:val="0"/>
              <w:jc w:val="left"/>
              <w:rPr>
                <w:rFonts w:hint="eastAsia" w:ascii="宋体" w:hAnsi="宋体" w:cs="宋体"/>
                <w:szCs w:val="21"/>
                <w:highlight w:val="yellow"/>
                <w:lang w:bidi="ar"/>
              </w:rPr>
            </w:pPr>
            <w:r>
              <w:rPr>
                <w:rFonts w:hint="eastAsia" w:ascii="宋体" w:hAnsi="宋体" w:cs="宋体"/>
                <w:szCs w:val="21"/>
                <w:lang w:bidi="ar"/>
              </w:rPr>
              <w:t>a.</w:t>
            </w:r>
            <w:r>
              <w:rPr>
                <w:rFonts w:hint="eastAsia" w:ascii="宋体" w:hAnsi="宋体" w:cs="宋体"/>
                <w:szCs w:val="21"/>
              </w:rPr>
              <w:t>如果供应商在“政府采购云平台”完成的“电子加密投标文件”出现故障后，采购代理机构将上传供应商在投标截止前按规定提交的“备份投标文件”。</w:t>
            </w:r>
            <w:r>
              <w:rPr>
                <w:rFonts w:hint="eastAsia" w:ascii="宋体" w:hAnsi="宋体" w:cs="宋体"/>
                <w:b/>
                <w:bCs/>
                <w:szCs w:val="21"/>
                <w:highlight w:val="yellow"/>
                <w:lang w:bidi="ar"/>
              </w:rPr>
              <w:t>届时未按规定提供“备份投标文件”的视为投标文件撤回。</w:t>
            </w:r>
          </w:p>
          <w:p>
            <w:pPr>
              <w:ind w:firstLine="420" w:firstLineChars="200"/>
              <w:rPr>
                <w:rFonts w:hint="eastAsia" w:ascii="宋体" w:hAnsi="宋体" w:cs="宋体"/>
                <w:szCs w:val="21"/>
                <w:lang w:bidi="ar"/>
              </w:rPr>
            </w:pPr>
            <w:r>
              <w:rPr>
                <w:rFonts w:hint="eastAsia" w:ascii="宋体" w:hAnsi="宋体" w:cs="宋体"/>
                <w:szCs w:val="21"/>
                <w:lang w:bidi="ar"/>
              </w:rPr>
              <w:t>注：“备份响应文件”的递交方式：可通过邮寄或开标现场（如派代表出席现场开标会议的）递交以介质（U盘）存储的数据电文形式的“备份响应文件”。“备份响应文件”格式及内容须与政采云平台项目采购-电子交易操作指南中制作、加密并递交的电子加密响应文件格式及内容一致。“备份响应文件”应当密封包装并在包装上标注投标项目名称、投标单位名称、联系电话并加盖公章。</w:t>
            </w:r>
          </w:p>
          <w:p>
            <w:pPr>
              <w:ind w:firstLine="420" w:firstLineChars="200"/>
              <w:rPr>
                <w:rFonts w:hint="eastAsia" w:ascii="宋体" w:hAnsi="宋体" w:cs="宋体"/>
                <w:szCs w:val="21"/>
                <w:lang w:bidi="ar"/>
              </w:rPr>
            </w:pPr>
            <w:r>
              <w:rPr>
                <w:rFonts w:hint="eastAsia" w:ascii="宋体" w:hAnsi="宋体" w:cs="宋体"/>
                <w:szCs w:val="21"/>
                <w:lang w:bidi="ar"/>
              </w:rPr>
              <w:t>递交方式二选其一：</w:t>
            </w:r>
          </w:p>
          <w:p>
            <w:pPr>
              <w:widowControl/>
              <w:adjustRightInd/>
              <w:ind w:firstLine="420" w:firstLineChars="200"/>
              <w:rPr>
                <w:rFonts w:hint="eastAsia" w:ascii="宋体" w:hAnsi="宋体" w:cs="宋体"/>
                <w:szCs w:val="21"/>
                <w:lang w:bidi="ar"/>
              </w:rPr>
            </w:pPr>
            <w:r>
              <w:rPr>
                <w:rFonts w:hint="eastAsia" w:ascii="宋体" w:hAnsi="宋体" w:cs="宋体"/>
                <w:szCs w:val="21"/>
                <w:lang w:bidi="ar"/>
              </w:rPr>
              <w:t>供应商采用邮寄递交“备份响应文件”。邮寄地址为：浙江恒盛工程咨询有限公司</w:t>
            </w:r>
            <w:r>
              <w:rPr>
                <w:rFonts w:hint="eastAsia" w:ascii="宋体" w:hAnsi="宋体" w:eastAsia="宋体" w:cs="宋体"/>
                <w:szCs w:val="21"/>
                <w:lang w:bidi="ar"/>
              </w:rPr>
              <w:t>（</w:t>
            </w:r>
            <w:r>
              <w:rPr>
                <w:rFonts w:hint="eastAsia" w:ascii="宋体" w:hAnsi="宋体" w:eastAsia="宋体" w:cs="宋体"/>
                <w:szCs w:val="21"/>
                <w:lang w:val="en-US" w:eastAsia="zh-CN" w:bidi="ar"/>
              </w:rPr>
              <w:t>湖州市榆树街26号新天地写字楼21层招标部</w:t>
            </w:r>
            <w:r>
              <w:rPr>
                <w:rFonts w:hint="eastAsia" w:ascii="宋体" w:hAnsi="宋体" w:cs="宋体"/>
                <w:szCs w:val="21"/>
                <w:lang w:bidi="ar"/>
              </w:rPr>
              <w:t>），联系人：匡伟，电话：0572-2199129</w:t>
            </w:r>
            <w:r>
              <w:rPr>
                <w:rFonts w:hint="eastAsia" w:ascii="宋体" w:hAnsi="宋体" w:cs="宋体"/>
                <w:color w:val="0000FF"/>
                <w:szCs w:val="21"/>
                <w:lang w:bidi="ar"/>
              </w:rPr>
              <w:fldChar w:fldCharType="begin"/>
            </w:r>
            <w:r>
              <w:rPr>
                <w:rFonts w:hint="eastAsia" w:ascii="宋体" w:hAnsi="宋体" w:cs="宋体"/>
                <w:color w:val="0000FF"/>
                <w:szCs w:val="21"/>
                <w:lang w:bidi="ar"/>
              </w:rPr>
              <w:instrText xml:space="preserve"> HYPERLINK "mailto:897221106@qq.com。邮寄截止时间：供应商应于2020年" </w:instrText>
            </w:r>
            <w:r>
              <w:rPr>
                <w:rFonts w:hint="eastAsia" w:ascii="宋体" w:hAnsi="宋体" w:cs="宋体"/>
                <w:color w:val="0000FF"/>
                <w:szCs w:val="21"/>
                <w:lang w:bidi="ar"/>
              </w:rPr>
              <w:fldChar w:fldCharType="separate"/>
            </w:r>
            <w:r>
              <w:rPr>
                <w:rFonts w:hint="eastAsia" w:ascii="宋体" w:hAnsi="宋体" w:cs="宋体"/>
                <w:color w:val="0000FF"/>
                <w:szCs w:val="21"/>
                <w:lang w:bidi="ar"/>
              </w:rPr>
              <w:t>。邮寄接收截止时间：供应商应于</w:t>
            </w:r>
            <w:r>
              <w:rPr>
                <w:rFonts w:hint="eastAsia" w:ascii="宋体" w:hAnsi="宋体" w:cs="宋体"/>
                <w:color w:val="0000FF"/>
                <w:szCs w:val="21"/>
                <w:lang w:eastAsia="zh-CN" w:bidi="ar"/>
              </w:rPr>
              <w:t>2024</w:t>
            </w:r>
            <w:r>
              <w:rPr>
                <w:rFonts w:hint="eastAsia" w:ascii="宋体" w:hAnsi="宋体" w:cs="宋体"/>
                <w:color w:val="0000FF"/>
                <w:szCs w:val="21"/>
                <w:lang w:bidi="ar"/>
              </w:rPr>
              <w:t>年</w:t>
            </w:r>
            <w:r>
              <w:rPr>
                <w:rFonts w:hint="eastAsia" w:ascii="宋体" w:hAnsi="宋体" w:cs="宋体"/>
                <w:color w:val="0000FF"/>
                <w:szCs w:val="21"/>
                <w:lang w:bidi="ar"/>
              </w:rPr>
              <w:fldChar w:fldCharType="end"/>
            </w:r>
            <w:r>
              <w:rPr>
                <w:rFonts w:hint="eastAsia" w:ascii="宋体" w:hAnsi="宋体" w:cs="宋体"/>
                <w:color w:val="0000FF"/>
                <w:szCs w:val="21"/>
                <w:lang w:val="en-US" w:eastAsia="zh-CN" w:bidi="ar"/>
              </w:rPr>
              <w:t>5</w:t>
            </w:r>
            <w:r>
              <w:rPr>
                <w:rFonts w:hint="eastAsia" w:ascii="宋体" w:hAnsi="宋体" w:cs="宋体"/>
                <w:color w:val="0000FF"/>
                <w:szCs w:val="21"/>
                <w:lang w:bidi="ar"/>
              </w:rPr>
              <w:t>月</w:t>
            </w:r>
            <w:r>
              <w:rPr>
                <w:rFonts w:hint="eastAsia" w:ascii="宋体" w:hAnsi="宋体" w:cs="宋体"/>
                <w:color w:val="0000FF"/>
                <w:szCs w:val="21"/>
                <w:lang w:val="en-US" w:eastAsia="zh-CN" w:bidi="ar"/>
              </w:rPr>
              <w:t>22</w:t>
            </w:r>
            <w:r>
              <w:rPr>
                <w:rFonts w:hint="eastAsia" w:ascii="宋体" w:hAnsi="宋体" w:cs="宋体"/>
                <w:color w:val="0000FF"/>
                <w:szCs w:val="21"/>
                <w:lang w:bidi="ar"/>
              </w:rPr>
              <w:t>日</w:t>
            </w:r>
            <w:r>
              <w:rPr>
                <w:rFonts w:hint="eastAsia" w:ascii="宋体" w:hAnsi="宋体" w:cs="宋体"/>
                <w:szCs w:val="21"/>
                <w:lang w:bidi="ar"/>
              </w:rPr>
              <w:t xml:space="preserve">16:30时前送达【以收件人实际签收时间为准】，逾期送达或未密封或到付件将拒绝接收。     </w:t>
            </w:r>
          </w:p>
          <w:p>
            <w:pPr>
              <w:ind w:firstLine="420" w:firstLineChars="200"/>
              <w:jc w:val="left"/>
              <w:rPr>
                <w:rFonts w:hint="eastAsia" w:ascii="宋体" w:hAnsi="宋体" w:cs="宋体"/>
                <w:szCs w:val="21"/>
                <w:lang w:bidi="ar"/>
              </w:rPr>
            </w:pPr>
            <w:r>
              <w:rPr>
                <w:rFonts w:hint="eastAsia" w:ascii="宋体" w:hAnsi="宋体" w:cs="宋体"/>
                <w:szCs w:val="21"/>
                <w:lang w:bidi="ar"/>
              </w:rPr>
              <w:t>开标现场递交地址与时间：应在投标截止时间前递交至</w:t>
            </w:r>
            <w:r>
              <w:rPr>
                <w:rFonts w:hint="eastAsia" w:ascii="宋体" w:hAnsi="宋体" w:eastAsia="宋体" w:cs="宋体"/>
                <w:szCs w:val="21"/>
                <w:lang w:bidi="ar"/>
              </w:rPr>
              <w:t>湖州市吴兴区公共资源交易中心（湖州市吴兴区区府路1188号总部自由港E幢）4楼开标室</w:t>
            </w:r>
            <w:r>
              <w:rPr>
                <w:rFonts w:hint="eastAsia" w:ascii="宋体" w:hAnsi="宋体" w:eastAsia="宋体" w:cs="宋体"/>
                <w:szCs w:val="21"/>
                <w:lang w:eastAsia="zh-CN" w:bidi="ar"/>
              </w:rPr>
              <w:t>（</w:t>
            </w:r>
            <w:r>
              <w:rPr>
                <w:rFonts w:hint="eastAsia" w:ascii="宋体" w:hAnsi="宋体" w:eastAsia="宋体" w:cs="宋体"/>
                <w:szCs w:val="21"/>
                <w:lang w:val="en-US" w:eastAsia="zh-CN" w:bidi="ar"/>
              </w:rPr>
              <w:t>具体详见大厅大屏显示</w:t>
            </w:r>
            <w:r>
              <w:rPr>
                <w:rFonts w:hint="eastAsia" w:ascii="宋体" w:hAnsi="宋体" w:eastAsia="宋体" w:cs="宋体"/>
                <w:szCs w:val="21"/>
                <w:lang w:eastAsia="zh-CN" w:bidi="ar"/>
              </w:rPr>
              <w:t>）</w:t>
            </w:r>
            <w:r>
              <w:rPr>
                <w:rFonts w:hint="eastAsia" w:ascii="宋体" w:hAnsi="宋体" w:eastAsia="宋体" w:cs="宋体"/>
                <w:szCs w:val="21"/>
                <w:lang w:bidi="ar"/>
              </w:rPr>
              <w:t>，逾期送</w:t>
            </w:r>
            <w:r>
              <w:rPr>
                <w:rFonts w:hint="eastAsia" w:ascii="宋体" w:hAnsi="宋体" w:cs="宋体"/>
                <w:szCs w:val="21"/>
                <w:lang w:bidi="ar"/>
              </w:rPr>
              <w:t>达或未密封将拒绝接收。</w:t>
            </w:r>
          </w:p>
          <w:p>
            <w:pPr>
              <w:autoSpaceDE w:val="0"/>
              <w:autoSpaceDN w:val="0"/>
              <w:jc w:val="left"/>
              <w:rPr>
                <w:rFonts w:hint="eastAsia" w:ascii="宋体" w:hAnsi="宋体" w:cs="宋体"/>
                <w:szCs w:val="21"/>
                <w:lang w:bidi="ar"/>
              </w:rPr>
            </w:pPr>
            <w:r>
              <w:rPr>
                <w:rFonts w:hint="eastAsia" w:ascii="宋体" w:hAnsi="宋体" w:cs="宋体"/>
                <w:szCs w:val="21"/>
                <w:lang w:bidi="ar"/>
              </w:rPr>
              <w:t>b.通过“政府采购云平台”成功上传递交的“电子加密投标文件”已按时解密的，“备份投标文件”自动失效。投标文件启用顺序和效力。投标文件的启用，按先后顺位分别为电子投标文件、数据电文形式的备份投标文件。</w:t>
            </w:r>
          </w:p>
          <w:p>
            <w:pPr>
              <w:autoSpaceDE w:val="0"/>
              <w:autoSpaceDN w:val="0"/>
              <w:jc w:val="left"/>
              <w:rPr>
                <w:rFonts w:hint="eastAsia" w:ascii="宋体" w:hAnsi="宋体" w:cs="宋体"/>
                <w:b/>
                <w:szCs w:val="21"/>
                <w:lang w:bidi="ar"/>
              </w:rPr>
            </w:pPr>
            <w:r>
              <w:rPr>
                <w:rFonts w:hint="eastAsia" w:ascii="宋体" w:hAnsi="宋体" w:cs="宋体"/>
                <w:b/>
                <w:szCs w:val="21"/>
                <w:lang w:bidi="ar"/>
              </w:rPr>
              <w:t>c.所有投标文件逾期解密的视作无效标。</w:t>
            </w:r>
          </w:p>
          <w:p>
            <w:pPr>
              <w:rPr>
                <w:rFonts w:hint="eastAsia" w:ascii="宋体" w:hAnsi="宋体" w:cs="宋体"/>
                <w:b/>
                <w:bCs/>
                <w:szCs w:val="21"/>
                <w:lang w:bidi="ar"/>
              </w:rPr>
            </w:pPr>
            <w:r>
              <w:rPr>
                <w:rFonts w:hint="eastAsia" w:ascii="宋体" w:hAnsi="宋体" w:cs="宋体"/>
                <w:b/>
                <w:bCs/>
                <w:szCs w:val="21"/>
                <w:lang w:bidi="ar"/>
              </w:rPr>
              <w:t>6、电子加密投标文件的解密和异常情况处理：</w:t>
            </w:r>
          </w:p>
          <w:p>
            <w:pPr>
              <w:rPr>
                <w:rFonts w:hint="eastAsia" w:ascii="宋体" w:hAnsi="宋体" w:cs="宋体"/>
                <w:szCs w:val="21"/>
                <w:lang w:bidi="ar"/>
              </w:rPr>
            </w:pPr>
            <w:r>
              <w:rPr>
                <w:rFonts w:hint="eastAsia" w:ascii="宋体" w:hAnsi="宋体" w:cs="宋体"/>
                <w:szCs w:val="21"/>
                <w:lang w:bidi="ar"/>
              </w:rPr>
              <w:t>（1）开标后，采购代理机构将向各供应商发出“电子加密投标文件”的解密通知，各供应商代表应当在接到解密通知后30分钟内自行完成“电子加密投标文件”的在线解密。</w:t>
            </w:r>
          </w:p>
          <w:p>
            <w:pPr>
              <w:rPr>
                <w:rFonts w:hint="eastAsia" w:ascii="宋体" w:hAnsi="宋体" w:cs="宋体"/>
                <w:szCs w:val="21"/>
                <w:lang w:bidi="ar"/>
              </w:rPr>
            </w:pPr>
            <w:r>
              <w:rPr>
                <w:rFonts w:hint="eastAsia" w:ascii="宋体" w:hAnsi="宋体" w:cs="宋体"/>
                <w:szCs w:val="21"/>
                <w:lang w:bidi="ar"/>
              </w:rPr>
              <w:t>（2）通过“政府采购云平台”成功上传递交的“电子加密投标文件”无法按时解密，</w:t>
            </w:r>
          </w:p>
          <w:p>
            <w:pPr>
              <w:rPr>
                <w:rFonts w:hint="eastAsia" w:ascii="宋体" w:hAnsi="宋体" w:cs="宋体"/>
                <w:szCs w:val="21"/>
                <w:lang w:bidi="ar"/>
              </w:rPr>
            </w:pPr>
            <w:r>
              <w:rPr>
                <w:rFonts w:hint="eastAsia" w:ascii="宋体" w:hAnsi="宋体" w:cs="宋体"/>
                <w:szCs w:val="21"/>
                <w:lang w:bidi="ar"/>
              </w:rPr>
              <w:t>供应商如按规定递交“备份投标文件”的（由采购代理机构按“政府采购云平台”操作规范点击“异常处理”，上传至“政府采购云平台”，上传成功后，“电子加密投标文件”自动失效），否则视为响应文件撤回。</w:t>
            </w:r>
          </w:p>
          <w:p>
            <w:pPr>
              <w:rPr>
                <w:rFonts w:ascii="宋体" w:hAnsi="宋体" w:cs="宋体"/>
                <w:b/>
                <w:bCs/>
                <w:szCs w:val="21"/>
                <w:lang w:bidi="ar"/>
              </w:rPr>
            </w:pPr>
            <w:r>
              <w:rPr>
                <w:rFonts w:hint="eastAsia" w:ascii="宋体" w:hAnsi="宋体" w:cs="宋体"/>
                <w:b/>
                <w:bCs/>
                <w:szCs w:val="21"/>
                <w:lang w:bidi="ar"/>
              </w:rPr>
              <w:t>注：制作电子投标文件和解密投标文件应用同一CA锁。</w:t>
            </w:r>
          </w:p>
          <w:p>
            <w:pPr>
              <w:snapToGrid w:val="0"/>
              <w:rPr>
                <w:rFonts w:hint="eastAsia" w:ascii="宋体" w:hAnsi="宋体" w:cs="宋体"/>
                <w:szCs w:val="21"/>
                <w:lang w:bidi="ar"/>
              </w:rPr>
            </w:pPr>
            <w:r>
              <w:rPr>
                <w:rFonts w:hint="eastAsia" w:ascii="宋体" w:hAnsi="宋体" w:cs="宋体"/>
                <w:b/>
                <w:szCs w:val="21"/>
                <w:lang w:bidi="ar"/>
              </w:rPr>
              <w:t>7、投标截止后，在投标有效期内，供应商不能撤销投标文件。</w:t>
            </w:r>
            <w:r>
              <w:rPr>
                <w:rFonts w:hint="eastAsia" w:ascii="宋体" w:hAnsi="宋体" w:cs="宋体"/>
                <w:szCs w:val="21"/>
                <w:lang w:bidi="ar"/>
              </w:rPr>
              <w:t>供应商强行撤销投标文件的，应按预算金额的2%赔偿对采购代理机构造成的损失。</w:t>
            </w:r>
          </w:p>
          <w:p>
            <w:pPr>
              <w:snapToGrid w:val="0"/>
              <w:rPr>
                <w:rFonts w:hint="eastAsia" w:ascii="宋体" w:hAnsi="宋体" w:cs="宋体"/>
                <w:szCs w:val="21"/>
                <w:lang w:bidi="ar"/>
              </w:rPr>
            </w:pPr>
            <w:r>
              <w:rPr>
                <w:rFonts w:hint="eastAsia" w:ascii="宋体" w:hAnsi="宋体" w:cs="宋体"/>
                <w:b/>
                <w:szCs w:val="21"/>
                <w:lang w:bidi="ar"/>
              </w:rPr>
              <w:t>8、</w:t>
            </w:r>
            <w:r>
              <w:rPr>
                <w:rFonts w:hint="eastAsia" w:ascii="宋体" w:hAnsi="宋体" w:cs="宋体"/>
                <w:szCs w:val="21"/>
                <w:lang w:bidi="ar"/>
              </w:rPr>
              <w:t>中标后，供应商拒绝签订合同的，采购人可以按照评审报告推荐的中标候选人名单排序，确定下一候选人为中标人，也可以重新开展政府采购活动。供应商中标后拒绝签订合同的，应按预算金额的2%对采购人进行赔偿；赔偿金额不足以弥补采购人损失的，供应商应继续承担超过部分的损失。</w:t>
            </w:r>
          </w:p>
          <w:p>
            <w:pPr>
              <w:snapToGrid w:val="0"/>
              <w:rPr>
                <w:rFonts w:hint="eastAsia" w:ascii="宋体" w:hAnsi="宋体" w:cs="宋体"/>
                <w:szCs w:val="21"/>
                <w:lang w:bidi="ar"/>
              </w:rPr>
            </w:pPr>
            <w:r>
              <w:rPr>
                <w:rFonts w:hint="eastAsia" w:ascii="宋体" w:hAnsi="宋体" w:cs="宋体"/>
                <w:b/>
                <w:szCs w:val="21"/>
                <w:lang w:bidi="ar"/>
              </w:rPr>
              <w:t>9、</w:t>
            </w:r>
            <w:r>
              <w:rPr>
                <w:rFonts w:hint="eastAsia" w:ascii="宋体" w:hAnsi="宋体" w:cs="宋体"/>
                <w:szCs w:val="21"/>
                <w:lang w:bidi="ar"/>
              </w:rPr>
              <w:t>存在下列行为的，采购代理机构将其失信行为上报政府采购主管部门，由主管部门按有关规定对其违法失信行为记录进行公开：</w:t>
            </w:r>
          </w:p>
          <w:p>
            <w:pPr>
              <w:snapToGrid w:val="0"/>
              <w:rPr>
                <w:rFonts w:hint="eastAsia" w:ascii="宋体" w:hAnsi="宋体" w:cs="宋体"/>
                <w:szCs w:val="21"/>
                <w:lang w:bidi="ar"/>
              </w:rPr>
            </w:pPr>
            <w:r>
              <w:rPr>
                <w:rFonts w:hint="eastAsia" w:ascii="宋体" w:hAnsi="宋体" w:cs="宋体"/>
                <w:szCs w:val="21"/>
                <w:lang w:bidi="ar"/>
              </w:rPr>
              <w:t>（1）中标后，拒绝签订政府采购合同的；</w:t>
            </w:r>
          </w:p>
          <w:p>
            <w:pPr>
              <w:autoSpaceDE w:val="0"/>
              <w:autoSpaceDN w:val="0"/>
              <w:ind w:right="69"/>
              <w:rPr>
                <w:rFonts w:hint="eastAsia" w:ascii="宋体" w:hAnsi="宋体" w:cs="宋体"/>
                <w:szCs w:val="21"/>
                <w:lang w:bidi="ar"/>
              </w:rPr>
            </w:pPr>
            <w:r>
              <w:rPr>
                <w:rFonts w:hint="eastAsia" w:ascii="宋体" w:hAnsi="宋体" w:cs="宋体"/>
                <w:szCs w:val="21"/>
                <w:lang w:bidi="ar"/>
              </w:rPr>
              <w:t>（2）投标有效期内撤销投标文件的。</w:t>
            </w:r>
          </w:p>
        </w:tc>
      </w:tr>
      <w:tr>
        <w:tblPrEx>
          <w:tblCellMar>
            <w:top w:w="0" w:type="dxa"/>
            <w:left w:w="108" w:type="dxa"/>
            <w:bottom w:w="0" w:type="dxa"/>
            <w:right w:w="108" w:type="dxa"/>
          </w:tblCellMar>
        </w:tblPrEx>
        <w:trPr>
          <w:cantSplit/>
          <w:trHeight w:val="998"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7</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lang w:val="zh-CN"/>
              </w:rPr>
            </w:pPr>
            <w:r>
              <w:rPr>
                <w:rFonts w:hint="eastAsia" w:ascii="宋体" w:hAnsi="宋体" w:cs="宋体"/>
                <w:szCs w:val="21"/>
                <w:lang w:val="zh-CN"/>
              </w:rPr>
              <w:t>投标文件递交地点及截止时间：</w:t>
            </w:r>
          </w:p>
          <w:p>
            <w:pPr>
              <w:autoSpaceDE w:val="0"/>
              <w:autoSpaceDN w:val="0"/>
              <w:jc w:val="left"/>
              <w:rPr>
                <w:rFonts w:hint="eastAsia" w:ascii="宋体" w:hAnsi="宋体" w:cs="宋体"/>
                <w:szCs w:val="21"/>
                <w:lang w:val="zh-CN"/>
              </w:rPr>
            </w:pPr>
            <w:r>
              <w:rPr>
                <w:rFonts w:hint="eastAsia" w:ascii="宋体" w:hAnsi="宋体" w:cs="宋体"/>
                <w:szCs w:val="21"/>
                <w:lang w:val="zh-CN"/>
              </w:rPr>
              <w:t>地点：</w:t>
            </w:r>
            <w:r>
              <w:rPr>
                <w:rFonts w:hint="eastAsia" w:ascii="宋体" w:hAnsi="宋体" w:cs="宋体"/>
                <w:szCs w:val="21"/>
              </w:rPr>
              <w:t>通过“政府采购云平台（www.zcygov.cn）”实行在线投标响应</w:t>
            </w:r>
          </w:p>
          <w:p>
            <w:pPr>
              <w:autoSpaceDE w:val="0"/>
              <w:autoSpaceDN w:val="0"/>
              <w:ind w:right="69"/>
              <w:rPr>
                <w:rFonts w:hint="eastAsia" w:ascii="宋体" w:hAnsi="宋体" w:cs="宋体"/>
                <w:szCs w:val="21"/>
                <w:lang w:val="zh-CN"/>
              </w:rPr>
            </w:pPr>
            <w:r>
              <w:rPr>
                <w:rFonts w:hint="eastAsia" w:ascii="宋体" w:hAnsi="宋体" w:cs="宋体"/>
                <w:szCs w:val="21"/>
                <w:lang w:val="zh-CN"/>
              </w:rPr>
              <w:t>时间：</w:t>
            </w:r>
            <w:r>
              <w:rPr>
                <w:rFonts w:hint="eastAsia" w:ascii="宋体" w:hAnsi="宋体" w:cs="宋体"/>
                <w:color w:val="0000FF"/>
                <w:szCs w:val="21"/>
                <w:lang w:val="zh-CN"/>
              </w:rPr>
              <w:t>2024年</w:t>
            </w:r>
            <w:r>
              <w:rPr>
                <w:rFonts w:hint="eastAsia" w:ascii="宋体" w:hAnsi="宋体" w:cs="宋体"/>
                <w:color w:val="0000FF"/>
                <w:szCs w:val="21"/>
                <w:u w:val="single"/>
                <w:lang w:val="en-US" w:eastAsia="zh-CN"/>
              </w:rPr>
              <w:t>5</w:t>
            </w:r>
            <w:r>
              <w:rPr>
                <w:rFonts w:hint="eastAsia" w:ascii="宋体" w:hAnsi="宋体" w:cs="宋体"/>
                <w:color w:val="0000FF"/>
                <w:szCs w:val="21"/>
                <w:lang w:val="zh-CN"/>
              </w:rPr>
              <w:t>月</w:t>
            </w:r>
            <w:r>
              <w:rPr>
                <w:rFonts w:hint="eastAsia" w:ascii="宋体" w:hAnsi="宋体" w:cs="宋体"/>
                <w:color w:val="0000FF"/>
                <w:szCs w:val="21"/>
                <w:u w:val="single"/>
                <w:lang w:val="en-US" w:eastAsia="zh-CN"/>
              </w:rPr>
              <w:t>23</w:t>
            </w:r>
            <w:r>
              <w:rPr>
                <w:rFonts w:hint="eastAsia" w:ascii="宋体" w:hAnsi="宋体" w:cs="宋体"/>
                <w:color w:val="0000FF"/>
                <w:szCs w:val="21"/>
                <w:lang w:val="zh-CN"/>
              </w:rPr>
              <w:t>日</w:t>
            </w:r>
            <w:r>
              <w:rPr>
                <w:rFonts w:hint="eastAsia" w:ascii="宋体" w:hAnsi="宋体" w:cs="宋体"/>
                <w:color w:val="0000FF"/>
                <w:szCs w:val="21"/>
                <w:lang w:val="en-US" w:eastAsia="zh-CN"/>
              </w:rPr>
              <w:t>14</w:t>
            </w:r>
            <w:r>
              <w:rPr>
                <w:rFonts w:hint="eastAsia" w:ascii="宋体" w:hAnsi="宋体" w:cs="宋体"/>
                <w:color w:val="0000FF"/>
                <w:szCs w:val="21"/>
                <w:lang w:val="zh-CN"/>
              </w:rPr>
              <w:t>时</w:t>
            </w:r>
            <w:r>
              <w:rPr>
                <w:rFonts w:hint="eastAsia" w:ascii="宋体" w:hAnsi="宋体" w:cs="宋体"/>
                <w:color w:val="0000FF"/>
                <w:szCs w:val="21"/>
              </w:rPr>
              <w:t>00</w:t>
            </w:r>
            <w:r>
              <w:rPr>
                <w:rFonts w:hint="eastAsia" w:ascii="宋体" w:hAnsi="宋体" w:cs="宋体"/>
                <w:color w:val="0000FF"/>
                <w:szCs w:val="21"/>
                <w:lang w:val="zh-CN"/>
              </w:rPr>
              <w:t>分</w:t>
            </w:r>
          </w:p>
        </w:tc>
      </w:tr>
      <w:tr>
        <w:tblPrEx>
          <w:tblCellMar>
            <w:top w:w="0" w:type="dxa"/>
            <w:left w:w="108" w:type="dxa"/>
            <w:bottom w:w="0" w:type="dxa"/>
            <w:right w:w="108" w:type="dxa"/>
          </w:tblCellMar>
        </w:tblPrEx>
        <w:trPr>
          <w:cantSplit/>
          <w:trHeight w:val="1003"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8</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lang w:val="zh-CN"/>
              </w:rPr>
            </w:pPr>
            <w:r>
              <w:rPr>
                <w:rFonts w:hint="eastAsia" w:ascii="宋体" w:hAnsi="宋体" w:cs="宋体"/>
                <w:szCs w:val="21"/>
                <w:lang w:val="zh-CN"/>
              </w:rPr>
              <w:t>开标时间：</w:t>
            </w:r>
            <w:r>
              <w:rPr>
                <w:rFonts w:hint="eastAsia" w:ascii="宋体" w:hAnsi="宋体" w:cs="宋体"/>
                <w:color w:val="0000FF"/>
                <w:szCs w:val="21"/>
                <w:lang w:val="zh-CN"/>
              </w:rPr>
              <w:t>2024年</w:t>
            </w:r>
            <w:r>
              <w:rPr>
                <w:rFonts w:hint="eastAsia" w:ascii="宋体" w:hAnsi="宋体" w:cs="宋体"/>
                <w:color w:val="0000FF"/>
                <w:szCs w:val="21"/>
                <w:u w:val="single"/>
                <w:lang w:val="en-US" w:eastAsia="zh-CN"/>
              </w:rPr>
              <w:t>5</w:t>
            </w:r>
            <w:r>
              <w:rPr>
                <w:rFonts w:hint="eastAsia" w:ascii="宋体" w:hAnsi="宋体" w:cs="宋体"/>
                <w:color w:val="0000FF"/>
                <w:szCs w:val="21"/>
                <w:lang w:val="zh-CN"/>
              </w:rPr>
              <w:t>月</w:t>
            </w:r>
            <w:r>
              <w:rPr>
                <w:rFonts w:hint="eastAsia" w:ascii="宋体" w:hAnsi="宋体" w:cs="宋体"/>
                <w:color w:val="0000FF"/>
                <w:szCs w:val="21"/>
                <w:u w:val="single"/>
                <w:lang w:val="en-US" w:eastAsia="zh-CN"/>
              </w:rPr>
              <w:t>23</w:t>
            </w:r>
            <w:r>
              <w:rPr>
                <w:rFonts w:hint="eastAsia" w:ascii="宋体" w:hAnsi="宋体" w:cs="宋体"/>
                <w:color w:val="0000FF"/>
                <w:szCs w:val="21"/>
                <w:lang w:val="zh-CN"/>
              </w:rPr>
              <w:t>日</w:t>
            </w:r>
            <w:r>
              <w:rPr>
                <w:rFonts w:hint="eastAsia" w:ascii="宋体" w:hAnsi="宋体" w:cs="宋体"/>
                <w:color w:val="0000FF"/>
                <w:szCs w:val="21"/>
                <w:lang w:val="en-US" w:eastAsia="zh-CN"/>
              </w:rPr>
              <w:t>14</w:t>
            </w:r>
            <w:r>
              <w:rPr>
                <w:rFonts w:hint="eastAsia" w:ascii="宋体" w:hAnsi="宋体" w:cs="宋体"/>
                <w:color w:val="0000FF"/>
                <w:szCs w:val="21"/>
                <w:lang w:val="zh-CN"/>
              </w:rPr>
              <w:t>时</w:t>
            </w:r>
            <w:r>
              <w:rPr>
                <w:rFonts w:hint="eastAsia" w:ascii="宋体" w:hAnsi="宋体" w:cs="宋体"/>
                <w:color w:val="0000FF"/>
                <w:szCs w:val="21"/>
              </w:rPr>
              <w:t>00</w:t>
            </w:r>
            <w:r>
              <w:rPr>
                <w:rFonts w:hint="eastAsia" w:ascii="宋体" w:hAnsi="宋体" w:cs="宋体"/>
                <w:color w:val="0000FF"/>
                <w:szCs w:val="21"/>
                <w:lang w:val="zh-CN"/>
              </w:rPr>
              <w:t>分</w:t>
            </w:r>
          </w:p>
          <w:p>
            <w:pPr>
              <w:autoSpaceDE w:val="0"/>
              <w:autoSpaceDN w:val="0"/>
              <w:jc w:val="left"/>
              <w:rPr>
                <w:rFonts w:hint="eastAsia" w:ascii="宋体" w:hAnsi="宋体" w:cs="宋体"/>
                <w:szCs w:val="21"/>
                <w:lang w:val="zh-CN"/>
              </w:rPr>
            </w:pPr>
            <w:r>
              <w:rPr>
                <w:rFonts w:hint="eastAsia" w:ascii="宋体" w:hAnsi="宋体" w:cs="宋体"/>
                <w:szCs w:val="21"/>
                <w:lang w:val="zh-CN"/>
              </w:rPr>
              <w:t>地点：</w:t>
            </w:r>
            <w:r>
              <w:rPr>
                <w:rFonts w:hint="eastAsia" w:ascii="宋体" w:hAnsi="宋体" w:eastAsia="宋体" w:cs="宋体"/>
                <w:szCs w:val="21"/>
              </w:rPr>
              <w:t>湖州市吴兴区公共资源交易中心4楼开标室</w:t>
            </w:r>
            <w:r>
              <w:rPr>
                <w:rFonts w:hint="eastAsia" w:ascii="宋体" w:hAnsi="宋体" w:eastAsia="宋体" w:cs="宋体"/>
                <w:szCs w:val="21"/>
                <w:lang w:eastAsia="zh-CN"/>
              </w:rPr>
              <w:t>（</w:t>
            </w:r>
            <w:r>
              <w:rPr>
                <w:rFonts w:hint="eastAsia" w:ascii="宋体" w:hAnsi="宋体" w:eastAsia="宋体" w:cs="宋体"/>
                <w:szCs w:val="21"/>
                <w:lang w:val="en-US" w:eastAsia="zh-CN"/>
              </w:rPr>
              <w:t>具体详见大厅大屏显示</w:t>
            </w:r>
            <w:r>
              <w:rPr>
                <w:rFonts w:hint="eastAsia" w:ascii="宋体" w:hAnsi="宋体" w:eastAsia="宋体" w:cs="宋体"/>
                <w:szCs w:val="21"/>
                <w:lang w:eastAsia="zh-CN"/>
              </w:rPr>
              <w:t>）</w:t>
            </w:r>
            <w:r>
              <w:rPr>
                <w:rFonts w:hint="eastAsia" w:ascii="宋体" w:hAnsi="宋体" w:eastAsia="宋体" w:cs="宋体"/>
                <w:szCs w:val="21"/>
              </w:rPr>
              <w:t>（通</w:t>
            </w:r>
            <w:r>
              <w:rPr>
                <w:rFonts w:hint="eastAsia" w:ascii="宋体" w:hAnsi="宋体" w:cs="宋体"/>
                <w:szCs w:val="21"/>
              </w:rPr>
              <w:t>过“政府采购云平台（www.zcygov.cn）”实行在线投标响应</w:t>
            </w:r>
            <w:r>
              <w:rPr>
                <w:rFonts w:hint="eastAsia" w:ascii="宋体" w:hAnsi="宋体" w:cs="Arial"/>
                <w:sz w:val="24"/>
              </w:rPr>
              <w:t>）</w:t>
            </w:r>
          </w:p>
        </w:tc>
      </w:tr>
      <w:tr>
        <w:tblPrEx>
          <w:tblCellMar>
            <w:top w:w="0" w:type="dxa"/>
            <w:left w:w="108" w:type="dxa"/>
            <w:bottom w:w="0" w:type="dxa"/>
            <w:right w:w="108" w:type="dxa"/>
          </w:tblCellMar>
        </w:tblPrEx>
        <w:trPr>
          <w:cantSplit/>
          <w:trHeight w:val="45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9</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lang w:val="zh-CN"/>
              </w:rPr>
            </w:pPr>
            <w:r>
              <w:rPr>
                <w:rFonts w:hint="eastAsia" w:ascii="宋体" w:hAnsi="宋体" w:cs="宋体"/>
                <w:b/>
                <w:szCs w:val="21"/>
                <w:lang w:val="zh-CN"/>
              </w:rPr>
              <w:t>评标办法：</w:t>
            </w:r>
            <w:r>
              <w:rPr>
                <w:rFonts w:hint="eastAsia" w:ascii="宋体" w:hAnsi="宋体" w:cs="宋体"/>
                <w:szCs w:val="21"/>
                <w:lang w:val="zh-CN"/>
              </w:rPr>
              <w:t>综合评分法</w:t>
            </w:r>
          </w:p>
        </w:tc>
      </w:tr>
      <w:tr>
        <w:tblPrEx>
          <w:tblCellMar>
            <w:top w:w="0" w:type="dxa"/>
            <w:left w:w="108" w:type="dxa"/>
            <w:bottom w:w="0" w:type="dxa"/>
            <w:right w:w="108" w:type="dxa"/>
          </w:tblCellMar>
        </w:tblPrEx>
        <w:trPr>
          <w:cantSplit/>
          <w:trHeight w:val="45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10</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default" w:ascii="宋体" w:hAnsi="宋体" w:eastAsia="宋体" w:cs="宋体"/>
                <w:szCs w:val="21"/>
                <w:lang w:val="en-US" w:eastAsia="zh-CN"/>
              </w:rPr>
            </w:pPr>
            <w:r>
              <w:rPr>
                <w:rFonts w:hint="eastAsia" w:ascii="宋体" w:hAnsi="宋体" w:cs="宋体"/>
                <w:b/>
                <w:szCs w:val="21"/>
                <w:lang w:val="zh-CN"/>
              </w:rPr>
              <w:t>履约</w:t>
            </w:r>
            <w:r>
              <w:rPr>
                <w:rFonts w:hint="eastAsia" w:ascii="宋体" w:hAnsi="宋体" w:cs="宋体"/>
                <w:b/>
                <w:szCs w:val="21"/>
              </w:rPr>
              <w:t>保证金</w:t>
            </w:r>
            <w:r>
              <w:rPr>
                <w:rFonts w:hint="eastAsia" w:ascii="宋体" w:hAnsi="宋体" w:cs="宋体"/>
                <w:b/>
                <w:szCs w:val="21"/>
                <w:lang w:val="zh-CN"/>
              </w:rPr>
              <w:t>：</w:t>
            </w:r>
            <w:r>
              <w:rPr>
                <w:rFonts w:hint="eastAsia" w:ascii="宋体" w:hAnsi="宋体" w:eastAsia="宋体" w:cs="宋体"/>
                <w:szCs w:val="21"/>
                <w:lang w:val="en-US" w:eastAsia="zh-CN"/>
              </w:rPr>
              <w:t>合同价的/%</w:t>
            </w:r>
          </w:p>
        </w:tc>
      </w:tr>
      <w:tr>
        <w:tblPrEx>
          <w:tblCellMar>
            <w:top w:w="0" w:type="dxa"/>
            <w:left w:w="108" w:type="dxa"/>
            <w:bottom w:w="0" w:type="dxa"/>
            <w:right w:w="108" w:type="dxa"/>
          </w:tblCellMar>
        </w:tblPrEx>
        <w:trPr>
          <w:cantSplit/>
          <w:trHeight w:val="45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11</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lang w:val="zh-CN"/>
              </w:rPr>
            </w:pPr>
            <w:r>
              <w:rPr>
                <w:rFonts w:hint="eastAsia" w:ascii="宋体" w:hAnsi="宋体" w:cs="宋体"/>
                <w:b/>
                <w:szCs w:val="21"/>
                <w:lang w:val="zh-CN"/>
              </w:rPr>
              <w:t>本项目投标报价上限：</w:t>
            </w:r>
            <w:r>
              <w:rPr>
                <w:rFonts w:hint="eastAsia" w:ascii="宋体" w:hAnsi="宋体" w:cs="宋体"/>
                <w:bCs/>
                <w:szCs w:val="21"/>
                <w:lang w:val="zh-CN"/>
              </w:rPr>
              <w:t>人民币</w:t>
            </w:r>
            <w:r>
              <w:rPr>
                <w:rFonts w:hint="eastAsia" w:ascii="宋体" w:hAnsi="宋体" w:cs="宋体"/>
                <w:bCs/>
                <w:szCs w:val="21"/>
                <w:u w:val="single"/>
                <w:lang w:val="en-US" w:eastAsia="zh-CN"/>
              </w:rPr>
              <w:t>122</w:t>
            </w:r>
            <w:r>
              <w:rPr>
                <w:rFonts w:hint="eastAsia" w:ascii="宋体" w:hAnsi="宋体" w:cs="宋体"/>
                <w:bCs/>
                <w:szCs w:val="21"/>
              </w:rPr>
              <w:t>万元，预算即为报价上限。</w:t>
            </w:r>
          </w:p>
        </w:tc>
      </w:tr>
      <w:tr>
        <w:tblPrEx>
          <w:tblCellMar>
            <w:top w:w="0" w:type="dxa"/>
            <w:left w:w="108" w:type="dxa"/>
            <w:bottom w:w="0" w:type="dxa"/>
            <w:right w:w="108" w:type="dxa"/>
          </w:tblCellMar>
        </w:tblPrEx>
        <w:trPr>
          <w:cantSplit/>
          <w:trHeight w:val="624" w:hRule="atLeas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12</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snapToGrid w:val="0"/>
              <w:rPr>
                <w:rFonts w:hint="eastAsia" w:ascii="宋体" w:hAnsi="宋体" w:cs="宋体"/>
                <w:b/>
                <w:szCs w:val="21"/>
                <w:lang w:val="zh-CN"/>
              </w:rPr>
            </w:pPr>
            <w:r>
              <w:rPr>
                <w:rFonts w:hint="eastAsia" w:ascii="宋体" w:hAnsi="宋体" w:cs="宋体"/>
                <w:b/>
                <w:szCs w:val="21"/>
                <w:lang w:val="zh-CN"/>
              </w:rPr>
              <w:t>投标报价及费用：</w:t>
            </w:r>
          </w:p>
          <w:p>
            <w:pPr>
              <w:autoSpaceDE w:val="0"/>
              <w:autoSpaceDN w:val="0"/>
              <w:snapToGrid w:val="0"/>
              <w:rPr>
                <w:rFonts w:hint="eastAsia" w:ascii="宋体" w:hAnsi="宋体" w:cs="宋体"/>
                <w:szCs w:val="21"/>
                <w:lang w:val="zh-CN"/>
              </w:rPr>
            </w:pPr>
            <w:r>
              <w:rPr>
                <w:rFonts w:hint="eastAsia" w:ascii="宋体" w:hAnsi="宋体" w:cs="宋体"/>
                <w:szCs w:val="21"/>
                <w:lang w:val="zh-CN"/>
              </w:rPr>
              <w:t>1、本项目投标应以人民币报价</w:t>
            </w:r>
          </w:p>
          <w:p>
            <w:pPr>
              <w:autoSpaceDE w:val="0"/>
              <w:autoSpaceDN w:val="0"/>
              <w:snapToGrid w:val="0"/>
              <w:rPr>
                <w:rFonts w:hint="eastAsia" w:ascii="宋体" w:hAnsi="宋体" w:cs="宋体"/>
                <w:szCs w:val="21"/>
                <w:lang w:val="zh-CN"/>
              </w:rPr>
            </w:pPr>
            <w:r>
              <w:rPr>
                <w:rFonts w:hint="eastAsia" w:ascii="宋体" w:hAnsi="宋体" w:cs="宋体"/>
                <w:szCs w:val="21"/>
                <w:lang w:val="zh-CN"/>
              </w:rPr>
              <w:t>2、不论投标结果如何，供应商均应自行承担所有与投标有关的全部费用</w:t>
            </w:r>
          </w:p>
          <w:p>
            <w:pPr>
              <w:autoSpaceDE w:val="0"/>
              <w:autoSpaceDN w:val="0"/>
              <w:rPr>
                <w:rFonts w:hint="eastAsia" w:ascii="宋体" w:hAnsi="宋体" w:cs="宋体"/>
                <w:szCs w:val="21"/>
                <w:lang w:val="zh-CN"/>
              </w:rPr>
            </w:pPr>
            <w:r>
              <w:rPr>
                <w:rFonts w:hint="eastAsia" w:ascii="宋体" w:hAnsi="宋体" w:cs="宋体"/>
                <w:szCs w:val="21"/>
                <w:lang w:val="zh-CN"/>
              </w:rPr>
              <w:t>3、</w:t>
            </w:r>
            <w:r>
              <w:rPr>
                <w:rFonts w:hint="eastAsia" w:ascii="宋体" w:hAnsi="宋体" w:cs="宋体"/>
                <w:szCs w:val="21"/>
              </w:rPr>
              <w:t>本项目的招标代理服务费</w:t>
            </w:r>
            <w:r>
              <w:rPr>
                <w:rFonts w:hint="eastAsia" w:ascii="宋体" w:hAnsi="宋体" w:cs="宋体"/>
                <w:color w:val="auto"/>
                <w:szCs w:val="21"/>
              </w:rPr>
              <w:t>由中标人一次性向采购代理机构交付。本项目的招标代理费为</w:t>
            </w:r>
            <w:r>
              <w:rPr>
                <w:rFonts w:hint="eastAsia" w:ascii="宋体" w:hAnsi="宋体" w:cs="宋体"/>
                <w:b/>
                <w:bCs/>
                <w:color w:val="auto"/>
                <w:szCs w:val="21"/>
                <w:lang w:val="en-US" w:eastAsia="zh-CN"/>
              </w:rPr>
              <w:t>柒仟伍佰</w:t>
            </w:r>
            <w:r>
              <w:rPr>
                <w:rFonts w:hint="eastAsia" w:ascii="宋体" w:hAnsi="宋体" w:cs="宋体"/>
                <w:color w:val="auto"/>
                <w:szCs w:val="21"/>
                <w:lang w:val="en-US" w:eastAsia="zh-CN"/>
              </w:rPr>
              <w:t>元整</w:t>
            </w:r>
            <w:r>
              <w:rPr>
                <w:rFonts w:hint="eastAsia" w:ascii="宋体" w:hAnsi="宋体" w:cs="宋体"/>
                <w:color w:val="auto"/>
                <w:szCs w:val="21"/>
              </w:rPr>
              <w:t>。</w:t>
            </w:r>
          </w:p>
        </w:tc>
      </w:tr>
      <w:tr>
        <w:tblPrEx>
          <w:tblCellMar>
            <w:top w:w="0" w:type="dxa"/>
            <w:left w:w="108" w:type="dxa"/>
            <w:bottom w:w="0" w:type="dxa"/>
            <w:right w:w="108" w:type="dxa"/>
          </w:tblCellMar>
        </w:tblPrEx>
        <w:trPr>
          <w:cantSplit/>
          <w:trHeight w:val="553" w:hRule="atLeas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13</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rPr>
            </w:pPr>
            <w:r>
              <w:rPr>
                <w:rFonts w:hint="eastAsia" w:ascii="宋体" w:hAnsi="宋体" w:cs="宋体"/>
                <w:szCs w:val="21"/>
              </w:rPr>
              <w:t>中标公告及中标通知书：评标结束后5个工作日内，中标公告发布于浙江政府采购网(</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"http://www.zjzfcg.gov.cn)，中标公示期1" </w:instrText>
            </w:r>
            <w:r>
              <w:rPr>
                <w:rFonts w:hint="eastAsia" w:ascii="宋体" w:hAnsi="宋体" w:eastAsia="宋体" w:cs="宋体"/>
                <w:highlight w:val="none"/>
              </w:rPr>
              <w:fldChar w:fldCharType="separate"/>
            </w:r>
            <w:r>
              <w:rPr>
                <w:rFonts w:hint="eastAsia" w:ascii="宋体" w:hAnsi="宋体" w:eastAsia="宋体" w:cs="宋体"/>
                <w:highlight w:val="none"/>
              </w:rPr>
              <w:t>http://zfcg.czt.zj.gov.cn)，中标公示期1</w:t>
            </w:r>
            <w:r>
              <w:rPr>
                <w:rFonts w:hint="eastAsia" w:ascii="宋体" w:hAnsi="宋体" w:eastAsia="宋体" w:cs="宋体"/>
                <w:highlight w:val="none"/>
              </w:rPr>
              <w:fldChar w:fldCharType="end"/>
            </w:r>
            <w:r>
              <w:rPr>
                <w:rFonts w:hint="eastAsia" w:ascii="宋体" w:hAnsi="宋体" w:eastAsia="宋体" w:cs="宋体"/>
                <w:highlight w:val="none"/>
              </w:rPr>
              <w:t>个工作日，中标公示的同时发出中标通知书。</w:t>
            </w:r>
          </w:p>
        </w:tc>
      </w:tr>
      <w:tr>
        <w:tblPrEx>
          <w:tblCellMar>
            <w:top w:w="0" w:type="dxa"/>
            <w:left w:w="108" w:type="dxa"/>
            <w:bottom w:w="0" w:type="dxa"/>
            <w:right w:w="108" w:type="dxa"/>
          </w:tblCellMar>
        </w:tblPrEx>
        <w:trPr>
          <w:cantSplit/>
          <w:trHeight w:val="45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14</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rPr>
            </w:pPr>
            <w:r>
              <w:rPr>
                <w:rFonts w:hint="eastAsia" w:ascii="宋体" w:hAnsi="宋体" w:cs="宋体"/>
                <w:szCs w:val="21"/>
              </w:rPr>
              <w:t>签订合同：中标通知书发出后30日内。</w:t>
            </w:r>
          </w:p>
        </w:tc>
      </w:tr>
      <w:tr>
        <w:tblPrEx>
          <w:tblCellMar>
            <w:top w:w="0" w:type="dxa"/>
            <w:left w:w="108" w:type="dxa"/>
            <w:bottom w:w="0" w:type="dxa"/>
            <w:right w:w="108" w:type="dxa"/>
          </w:tblCellMar>
        </w:tblPrEx>
        <w:trPr>
          <w:cantSplit/>
          <w:trHeight w:val="553" w:hRule="atLeas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eastAsia" w:ascii="宋体" w:hAnsi="宋体" w:cs="宋体"/>
                <w:szCs w:val="21"/>
                <w:lang w:val="zh-CN"/>
              </w:rPr>
            </w:pPr>
            <w:r>
              <w:rPr>
                <w:rFonts w:hint="eastAsia" w:ascii="宋体" w:hAnsi="宋体" w:cs="宋体"/>
                <w:szCs w:val="21"/>
                <w:lang w:val="zh-CN"/>
              </w:rPr>
              <w:t>15</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rPr>
            </w:pPr>
            <w:r>
              <w:rPr>
                <w:rFonts w:hint="eastAsia" w:ascii="宋体" w:hAnsi="宋体" w:cs="宋体"/>
                <w:kern w:val="0"/>
                <w:szCs w:val="21"/>
                <w:lang w:val="zh-CN"/>
              </w:rPr>
              <w:t>湖州市埭溪镇上强中学</w:t>
            </w:r>
            <w:r>
              <w:rPr>
                <w:rFonts w:hint="eastAsia" w:ascii="宋体" w:hAnsi="宋体" w:cs="宋体"/>
                <w:szCs w:val="21"/>
              </w:rPr>
              <w:t>为本项目的采购人（合同中的甲方），浙江恒盛工程咨询有限公司为采购代理机构，响应招标、参加投标竞争的法人、其他组织或者自然人为供应商，经评审产生并经批准的供应商为中标候选人，经公示无异议，并签订合同后的中标人为合同中的乙方，</w:t>
            </w:r>
            <w:r>
              <w:rPr>
                <w:rFonts w:hint="eastAsia" w:ascii="宋体" w:hAnsi="宋体" w:cs="宋体"/>
                <w:szCs w:val="21"/>
                <w:lang w:eastAsia="zh-CN"/>
              </w:rPr>
              <w:t>吴兴区</w:t>
            </w:r>
            <w:r>
              <w:rPr>
                <w:rFonts w:hint="eastAsia" w:ascii="宋体" w:hAnsi="宋体" w:cs="宋体"/>
                <w:snapToGrid w:val="0"/>
                <w:kern w:val="28"/>
                <w:szCs w:val="21"/>
                <w:lang w:val="zh-CN"/>
              </w:rPr>
              <w:t>财政局为政府采购监督管理部门。</w:t>
            </w:r>
          </w:p>
        </w:tc>
      </w:tr>
      <w:tr>
        <w:tblPrEx>
          <w:tblCellMar>
            <w:top w:w="0" w:type="dxa"/>
            <w:left w:w="108" w:type="dxa"/>
            <w:bottom w:w="0" w:type="dxa"/>
            <w:right w:w="108" w:type="dxa"/>
          </w:tblCellMar>
        </w:tblPrEx>
        <w:trPr>
          <w:cantSplit/>
          <w:trHeight w:val="553" w:hRule="atLeas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default" w:ascii="宋体" w:hAnsi="宋体" w:eastAsia="宋体" w:cs="宋体"/>
                <w:szCs w:val="21"/>
                <w:lang w:val="en-US" w:eastAsia="zh-CN"/>
              </w:rPr>
            </w:pPr>
            <w:r>
              <w:rPr>
                <w:rFonts w:hint="eastAsia" w:ascii="宋体" w:hAnsi="宋体" w:cs="宋体"/>
                <w:szCs w:val="21"/>
                <w:lang w:val="en-US" w:eastAsia="zh-CN"/>
              </w:rPr>
              <w:t>16</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pStyle w:val="31"/>
              <w:rPr>
                <w:rFonts w:hint="eastAsia" w:hAnsi="宋体" w:cs="宋体"/>
              </w:rPr>
            </w:pPr>
            <w:r>
              <w:rPr>
                <w:rFonts w:hint="eastAsia" w:hAnsi="宋体" w:cs="宋体"/>
              </w:rPr>
              <w:t>开始评标前采购代理机构将依法对投标人的</w:t>
            </w:r>
            <w:r>
              <w:rPr>
                <w:rFonts w:hint="eastAsia" w:hAnsi="宋体" w:cs="宋体"/>
                <w:b/>
              </w:rPr>
              <w:t>信用记录查询</w:t>
            </w:r>
            <w:r>
              <w:rPr>
                <w:rFonts w:hint="eastAsia" w:hAnsi="宋体" w:cs="宋体"/>
              </w:rPr>
              <w:t>：依据财库[2016]125号文件执行</w:t>
            </w:r>
          </w:p>
          <w:p>
            <w:pPr>
              <w:pStyle w:val="31"/>
              <w:rPr>
                <w:rFonts w:hint="eastAsia" w:hAnsi="宋体" w:cs="宋体"/>
              </w:rPr>
            </w:pPr>
            <w:r>
              <w:rPr>
                <w:rFonts w:hint="eastAsia" w:hAnsi="宋体" w:cs="宋体"/>
              </w:rPr>
              <w:t>查询渠道：信用中国（www.creditchina.gov.cn）、中国政府采购网（www.ccgp.gov.cn）；</w:t>
            </w:r>
          </w:p>
          <w:p>
            <w:pPr>
              <w:pStyle w:val="31"/>
              <w:rPr>
                <w:rFonts w:hint="eastAsia" w:hAnsi="宋体" w:cs="宋体"/>
              </w:rPr>
            </w:pPr>
            <w:r>
              <w:rPr>
                <w:rFonts w:hint="eastAsia" w:hAnsi="宋体" w:cs="宋体"/>
              </w:rPr>
              <w:t>截止时点：截止提交首次响应文件截止时间前3年内；</w:t>
            </w:r>
          </w:p>
          <w:p>
            <w:pPr>
              <w:rPr>
                <w:rFonts w:hint="eastAsia" w:ascii="宋体" w:hAnsi="宋体" w:cs="宋体"/>
                <w:szCs w:val="21"/>
              </w:rPr>
            </w:pPr>
            <w:r>
              <w:rPr>
                <w:rFonts w:hint="eastAsia" w:ascii="宋体" w:hAnsi="宋体" w:cs="宋体"/>
                <w:szCs w:val="21"/>
              </w:rPr>
              <w:t>查询记录和证据的留存：网站查询，打印留存。</w:t>
            </w:r>
          </w:p>
          <w:p>
            <w:pPr>
              <w:autoSpaceDE w:val="0"/>
              <w:autoSpaceDN w:val="0"/>
              <w:rPr>
                <w:rFonts w:hint="eastAsia" w:ascii="宋体" w:hAnsi="宋体" w:cs="宋体"/>
                <w:kern w:val="0"/>
                <w:szCs w:val="21"/>
                <w:lang w:val="zh-CN"/>
              </w:rPr>
            </w:pPr>
            <w:r>
              <w:rPr>
                <w:rFonts w:hint="eastAsia" w:ascii="宋体" w:hAnsi="宋体" w:cs="宋体"/>
                <w:szCs w:val="21"/>
              </w:rPr>
              <w:t>使用规则：被列入失信被执行人、重大税收违法案件当事人名单、政府采购严重违法失信行为记录名单及其它不符合《中华人民共和国政府采购法》第二十二条规定条件的，其投标将被拒绝。</w:t>
            </w:r>
          </w:p>
        </w:tc>
      </w:tr>
      <w:tr>
        <w:tblPrEx>
          <w:tblCellMar>
            <w:top w:w="0" w:type="dxa"/>
            <w:left w:w="108" w:type="dxa"/>
            <w:bottom w:w="0" w:type="dxa"/>
            <w:right w:w="108" w:type="dxa"/>
          </w:tblCellMar>
        </w:tblPrEx>
        <w:trPr>
          <w:cantSplit/>
          <w:trHeight w:val="413" w:hRule="atLeas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default" w:ascii="宋体" w:hAnsi="宋体" w:eastAsia="宋体" w:cs="宋体"/>
                <w:szCs w:val="21"/>
                <w:lang w:val="en-US" w:eastAsia="zh-CN"/>
              </w:rPr>
            </w:pPr>
            <w:r>
              <w:rPr>
                <w:rFonts w:hint="eastAsia" w:ascii="宋体" w:hAnsi="宋体" w:cs="宋体"/>
                <w:szCs w:val="21"/>
                <w:lang w:val="en-US" w:eastAsia="zh-CN"/>
              </w:rPr>
              <w:t>17</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Pr>
                <w:rFonts w:hint="eastAsia" w:ascii="宋体" w:hAnsi="宋体" w:cs="宋体"/>
                <w:szCs w:val="21"/>
              </w:rPr>
            </w:pPr>
            <w:r>
              <w:rPr>
                <w:rFonts w:hint="eastAsia" w:ascii="宋体" w:hAnsi="宋体" w:cs="宋体"/>
                <w:szCs w:val="21"/>
              </w:rPr>
              <w:t>中标候选人:综合得分排名第一的供应商即为第一中标候选人。</w:t>
            </w:r>
          </w:p>
        </w:tc>
      </w:tr>
      <w:tr>
        <w:tblPrEx>
          <w:tblCellMar>
            <w:top w:w="0" w:type="dxa"/>
            <w:left w:w="108" w:type="dxa"/>
            <w:bottom w:w="0" w:type="dxa"/>
            <w:right w:w="108" w:type="dxa"/>
          </w:tblCellMar>
        </w:tblPrEx>
        <w:trPr>
          <w:cantSplit/>
          <w:trHeight w:val="454" w:hRule="exac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jc w:val="center"/>
              <w:rPr>
                <w:rFonts w:hint="default" w:ascii="宋体" w:hAnsi="宋体" w:eastAsia="宋体" w:cs="宋体"/>
                <w:szCs w:val="21"/>
                <w:lang w:val="en-US" w:eastAsia="zh-CN"/>
              </w:rPr>
            </w:pPr>
            <w:r>
              <w:rPr>
                <w:rFonts w:hint="eastAsia" w:ascii="宋体" w:hAnsi="宋体" w:cs="宋体"/>
                <w:szCs w:val="21"/>
                <w:lang w:val="en-US" w:eastAsia="zh-CN"/>
              </w:rPr>
              <w:t>18</w:t>
            </w:r>
          </w:p>
        </w:tc>
        <w:tc>
          <w:tcPr>
            <w:tcW w:w="4660" w:type="pct"/>
            <w:tcBorders>
              <w:top w:val="single" w:color="auto" w:sz="6" w:space="0"/>
              <w:left w:val="single" w:color="auto" w:sz="6" w:space="0"/>
              <w:bottom w:val="single" w:color="auto" w:sz="6" w:space="0"/>
              <w:right w:val="single" w:color="auto" w:sz="6" w:space="0"/>
            </w:tcBorders>
            <w:noWrap w:val="0"/>
            <w:vAlign w:val="center"/>
          </w:tcPr>
          <w:p>
            <w:pPr>
              <w:snapToGrid w:val="0"/>
              <w:rPr>
                <w:rFonts w:hint="eastAsia" w:ascii="宋体" w:hAnsi="宋体" w:cs="宋体"/>
                <w:szCs w:val="21"/>
              </w:rPr>
            </w:pPr>
            <w:r>
              <w:rPr>
                <w:rFonts w:hint="eastAsia" w:ascii="宋体" w:hAnsi="宋体" w:cs="宋体"/>
                <w:szCs w:val="21"/>
              </w:rPr>
              <w:t>供应商所提供的服务须遵守国家法律法规政策规定。</w:t>
            </w:r>
          </w:p>
        </w:tc>
      </w:tr>
      <w:tr>
        <w:tblPrEx>
          <w:tblCellMar>
            <w:top w:w="0" w:type="dxa"/>
            <w:left w:w="108" w:type="dxa"/>
            <w:bottom w:w="0" w:type="dxa"/>
            <w:right w:w="108" w:type="dxa"/>
          </w:tblCellMar>
        </w:tblPrEx>
        <w:trPr>
          <w:cantSplit/>
          <w:trHeight w:val="553" w:hRule="atLeas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default" w:ascii="宋体" w:hAnsi="宋体" w:eastAsia="宋体" w:cs="宋体"/>
                <w:szCs w:val="21"/>
                <w:lang w:val="en-US" w:eastAsia="zh-CN"/>
              </w:rPr>
            </w:pPr>
            <w:r>
              <w:rPr>
                <w:rFonts w:hint="eastAsia" w:ascii="宋体" w:hAnsi="宋体" w:cs="宋体"/>
                <w:szCs w:val="21"/>
                <w:lang w:val="en-US" w:eastAsia="zh-CN"/>
              </w:rPr>
              <w:t>19</w:t>
            </w:r>
          </w:p>
        </w:tc>
        <w:tc>
          <w:tcPr>
            <w:tcW w:w="791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ightChars="0"/>
              <w:rPr>
                <w:rFonts w:hint="eastAsia" w:ascii="宋体" w:hAnsi="宋体" w:cs="宋体"/>
                <w:szCs w:val="21"/>
              </w:rPr>
            </w:pPr>
            <w:r>
              <w:rPr>
                <w:rFonts w:hint="eastAsia" w:ascii="宋体" w:hAnsi="宋体" w:cs="宋体"/>
                <w:szCs w:val="21"/>
              </w:rPr>
              <w:t>特别说明：本表与采购文件其他部分内容不一致的，以本表为准。本采购文件的解释权属于采购代理机构。</w:t>
            </w:r>
          </w:p>
        </w:tc>
      </w:tr>
      <w:tr>
        <w:tblPrEx>
          <w:tblCellMar>
            <w:top w:w="0" w:type="dxa"/>
            <w:left w:w="108" w:type="dxa"/>
            <w:bottom w:w="0" w:type="dxa"/>
            <w:right w:w="108" w:type="dxa"/>
          </w:tblCellMar>
        </w:tblPrEx>
        <w:trPr>
          <w:cantSplit/>
          <w:trHeight w:val="553" w:hRule="atLeast"/>
          <w:jc w:val="center"/>
        </w:trPr>
        <w:tc>
          <w:tcPr>
            <w:tcW w:w="339" w:type="pct"/>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359" w:firstLine="105"/>
              <w:rPr>
                <w:rFonts w:hint="default" w:ascii="宋体" w:hAnsi="宋体" w:cs="宋体"/>
                <w:szCs w:val="21"/>
                <w:lang w:val="en-US" w:eastAsia="zh-CN"/>
              </w:rPr>
            </w:pPr>
            <w:r>
              <w:rPr>
                <w:rFonts w:hint="eastAsia" w:ascii="宋体" w:hAnsi="宋体" w:cs="宋体"/>
                <w:szCs w:val="21"/>
                <w:lang w:val="en-US" w:eastAsia="zh-CN"/>
              </w:rPr>
              <w:t>20</w:t>
            </w:r>
          </w:p>
        </w:tc>
        <w:tc>
          <w:tcPr>
            <w:tcW w:w="791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ind w:right="69" w:rightChars="0"/>
              <w:rPr>
                <w:rFonts w:hint="eastAsia" w:ascii="宋体" w:hAnsi="宋体" w:cs="宋体"/>
                <w:szCs w:val="21"/>
              </w:rPr>
            </w:pPr>
            <w:r>
              <w:rPr>
                <w:rFonts w:hint="eastAsia" w:ascii="宋体" w:hAnsi="宋体" w:cs="宋体"/>
                <w:b/>
                <w:bCs/>
                <w:color w:val="0000FF"/>
                <w:szCs w:val="21"/>
              </w:rPr>
              <w:t>在确定中标供应商后，签订合同前，中标供应商须提供二份（采购人一份，代理机构一份）完整的纸质投标文件（包括技术商务资信文件和报价文件），纸质投标文件须与电子投标文件格式及内容一致。</w:t>
            </w:r>
          </w:p>
        </w:tc>
      </w:tr>
      <w:bookmarkEnd w:id="3"/>
    </w:tbl>
    <w:p>
      <w:pPr>
        <w:pStyle w:val="3"/>
        <w:numPr>
          <w:ilvl w:val="0"/>
          <w:numId w:val="0"/>
        </w:numPr>
        <w:jc w:val="center"/>
        <w:rPr>
          <w:rFonts w:hint="eastAsia" w:ascii="宋体" w:hAnsi="宋体" w:eastAsia="宋体" w:cs="宋体"/>
          <w:sz w:val="24"/>
          <w:szCs w:val="24"/>
        </w:rPr>
      </w:pPr>
    </w:p>
    <w:p>
      <w:pPr>
        <w:pStyle w:val="3"/>
        <w:numPr>
          <w:ilvl w:val="0"/>
          <w:numId w:val="0"/>
        </w:numPr>
        <w:jc w:val="center"/>
        <w:rPr>
          <w:rFonts w:hint="eastAsia" w:ascii="宋体" w:hAnsi="宋体" w:eastAsia="宋体" w:cs="宋体"/>
          <w:sz w:val="24"/>
          <w:szCs w:val="24"/>
        </w:rPr>
      </w:pPr>
      <w:r>
        <w:rPr>
          <w:rFonts w:hint="eastAsia" w:ascii="宋体" w:hAnsi="宋体" w:eastAsia="宋体" w:cs="宋体"/>
          <w:sz w:val="24"/>
          <w:szCs w:val="24"/>
        </w:rPr>
        <w:t>一、总则</w:t>
      </w:r>
    </w:p>
    <w:p>
      <w:pPr>
        <w:pStyle w:val="254"/>
        <w:spacing w:before="0"/>
        <w:ind w:firstLine="0" w:firstLineChars="0"/>
        <w:rPr>
          <w:rFonts w:hint="eastAsia" w:ascii="宋体" w:hAnsi="宋体" w:cs="宋体"/>
          <w:b/>
          <w:color w:val="000000"/>
          <w:kern w:val="0"/>
          <w:szCs w:val="24"/>
        </w:rPr>
      </w:pPr>
      <w:bookmarkStart w:id="11" w:name="_Toc91899872"/>
      <w:bookmarkStart w:id="12" w:name="_Hlt74730112"/>
      <w:bookmarkStart w:id="13" w:name="_Hlt74730208"/>
      <w:r>
        <w:rPr>
          <w:rFonts w:hint="eastAsia" w:ascii="宋体" w:hAnsi="宋体" w:cs="宋体"/>
          <w:b/>
          <w:color w:val="000000"/>
          <w:kern w:val="0"/>
          <w:szCs w:val="24"/>
        </w:rPr>
        <w:t>1．项目说明</w:t>
      </w:r>
      <w:bookmarkEnd w:id="11"/>
    </w:p>
    <w:p>
      <w:pPr>
        <w:pStyle w:val="254"/>
        <w:spacing w:before="0"/>
        <w:ind w:firstLine="480"/>
        <w:rPr>
          <w:rFonts w:hint="eastAsia" w:ascii="宋体" w:hAnsi="宋体" w:cs="宋体"/>
          <w:color w:val="000000"/>
          <w:szCs w:val="24"/>
        </w:rPr>
      </w:pPr>
      <w:r>
        <w:rPr>
          <w:rFonts w:hint="eastAsia" w:ascii="宋体" w:hAnsi="宋体" w:cs="宋体"/>
          <w:color w:val="000000"/>
          <w:szCs w:val="24"/>
        </w:rPr>
        <w:t>1.1项目说明见投标须知前附表(以下称“前附表”)第1项所述。</w:t>
      </w:r>
    </w:p>
    <w:p>
      <w:pPr>
        <w:tabs>
          <w:tab w:val="left" w:pos="3780"/>
        </w:tabs>
        <w:spacing w:line="360" w:lineRule="auto"/>
        <w:ind w:firstLine="480" w:firstLineChars="200"/>
        <w:rPr>
          <w:rFonts w:hint="eastAsia" w:ascii="宋体" w:hAnsi="宋体" w:cs="宋体"/>
          <w:sz w:val="24"/>
        </w:rPr>
      </w:pPr>
      <w:r>
        <w:rPr>
          <w:rFonts w:hint="eastAsia" w:ascii="宋体" w:hAnsi="宋体" w:cs="宋体"/>
          <w:sz w:val="24"/>
        </w:rPr>
        <w:t>1.2上述项目按照《中华人民共和国政府采购法》及实施条例、《政府采购货物和服务招标投标管理办法》等有关法律、规章、规定通过公开招标来择优选定服务单位。</w:t>
      </w:r>
    </w:p>
    <w:p>
      <w:pPr>
        <w:tabs>
          <w:tab w:val="left" w:pos="3780"/>
        </w:tabs>
        <w:spacing w:line="360" w:lineRule="auto"/>
        <w:ind w:firstLine="480" w:firstLineChars="200"/>
        <w:rPr>
          <w:rFonts w:hint="eastAsia" w:ascii="宋体" w:hAnsi="宋体" w:cs="宋体"/>
          <w:kern w:val="0"/>
          <w:sz w:val="24"/>
        </w:rPr>
      </w:pPr>
      <w:r>
        <w:rPr>
          <w:rFonts w:hint="eastAsia" w:ascii="宋体" w:hAnsi="宋体" w:cs="宋体"/>
          <w:sz w:val="24"/>
        </w:rPr>
        <w:t>1.3潜在供应商领取采购文件后，必须按照国家《保密法》以及保密工作的相关规定，对采购文件内容应</w:t>
      </w:r>
      <w:r>
        <w:rPr>
          <w:rFonts w:hint="eastAsia" w:ascii="宋体" w:hAnsi="宋体" w:cs="宋体"/>
          <w:kern w:val="0"/>
          <w:sz w:val="24"/>
        </w:rPr>
        <w:t>承担保密义务，</w:t>
      </w:r>
      <w:r>
        <w:rPr>
          <w:rFonts w:hint="eastAsia" w:ascii="宋体" w:hAnsi="宋体" w:cs="宋体"/>
          <w:sz w:val="24"/>
        </w:rPr>
        <w:t>维护采购人的权益</w:t>
      </w:r>
      <w:r>
        <w:rPr>
          <w:rFonts w:hint="eastAsia" w:ascii="宋体" w:hAnsi="宋体" w:cs="宋体"/>
          <w:kern w:val="0"/>
          <w:sz w:val="24"/>
        </w:rPr>
        <w:t>。</w:t>
      </w:r>
    </w:p>
    <w:p>
      <w:pPr>
        <w:tabs>
          <w:tab w:val="left" w:pos="3780"/>
        </w:tabs>
        <w:spacing w:line="360" w:lineRule="auto"/>
        <w:ind w:firstLine="480" w:firstLineChars="200"/>
        <w:rPr>
          <w:rFonts w:hint="eastAsia" w:ascii="宋体" w:hAnsi="宋体" w:cs="宋体"/>
          <w:sz w:val="24"/>
        </w:rPr>
      </w:pPr>
      <w:r>
        <w:rPr>
          <w:rFonts w:hint="eastAsia" w:ascii="宋体" w:hAnsi="宋体" w:cs="宋体"/>
          <w:sz w:val="24"/>
        </w:rPr>
        <w:t>1.4供应商一旦参与本次采购活动，即被视为接受了本采购文件的所有内容，如有任何异议，均应在答疑截止时间前提出。</w:t>
      </w:r>
    </w:p>
    <w:p>
      <w:pPr>
        <w:pStyle w:val="254"/>
        <w:spacing w:before="0"/>
        <w:ind w:firstLine="0" w:firstLineChars="0"/>
        <w:rPr>
          <w:rFonts w:hint="eastAsia" w:ascii="宋体" w:hAnsi="宋体" w:cs="宋体"/>
          <w:szCs w:val="24"/>
        </w:rPr>
      </w:pPr>
      <w:bookmarkStart w:id="14" w:name="_Toc91899873"/>
      <w:r>
        <w:rPr>
          <w:rFonts w:hint="eastAsia" w:ascii="宋体" w:hAnsi="宋体" w:cs="宋体"/>
          <w:b/>
          <w:color w:val="000000"/>
          <w:kern w:val="0"/>
          <w:szCs w:val="24"/>
        </w:rPr>
        <w:t>2．采购方式</w:t>
      </w:r>
      <w:bookmarkEnd w:id="14"/>
      <w:r>
        <w:rPr>
          <w:rFonts w:hint="eastAsia" w:ascii="宋体" w:hAnsi="宋体" w:cs="宋体"/>
          <w:b/>
          <w:color w:val="000000"/>
          <w:kern w:val="0"/>
          <w:szCs w:val="24"/>
        </w:rPr>
        <w:t>：</w:t>
      </w:r>
      <w:r>
        <w:rPr>
          <w:rFonts w:hint="eastAsia" w:ascii="宋体" w:hAnsi="宋体" w:cs="宋体"/>
          <w:szCs w:val="24"/>
        </w:rPr>
        <w:t>公开招标。</w:t>
      </w:r>
      <w:bookmarkEnd w:id="12"/>
      <w:bookmarkEnd w:id="13"/>
      <w:bookmarkStart w:id="15" w:name="_Hlt74388212"/>
      <w:bookmarkEnd w:id="15"/>
      <w:bookmarkStart w:id="16" w:name="_Hlt68516771"/>
      <w:bookmarkEnd w:id="16"/>
    </w:p>
    <w:p>
      <w:pPr>
        <w:pStyle w:val="254"/>
        <w:spacing w:before="0"/>
        <w:ind w:firstLine="0" w:firstLineChars="0"/>
        <w:rPr>
          <w:rFonts w:hint="eastAsia" w:ascii="宋体" w:hAnsi="宋体" w:cs="宋体"/>
          <w:color w:val="000000"/>
          <w:szCs w:val="24"/>
        </w:rPr>
      </w:pPr>
      <w:bookmarkStart w:id="17" w:name="_Hlt74730301"/>
      <w:bookmarkStart w:id="18" w:name="_Toc91899876"/>
      <w:r>
        <w:rPr>
          <w:rFonts w:hint="eastAsia" w:ascii="宋体" w:hAnsi="宋体" w:cs="宋体"/>
          <w:b/>
          <w:color w:val="000000"/>
          <w:kern w:val="0"/>
          <w:szCs w:val="24"/>
        </w:rPr>
        <w:t>3．投标委托：</w:t>
      </w:r>
      <w:r>
        <w:rPr>
          <w:rFonts w:hint="eastAsia" w:ascii="宋体" w:hAnsi="宋体" w:cs="宋体"/>
          <w:color w:val="000000"/>
          <w:szCs w:val="24"/>
        </w:rPr>
        <w:t>各供应商法定代表人在投标文件中按要求提供法定代表人身份证复印件，非法定代表人在投标文件中按要求提供授权委托书及代理人身份证复印件。</w:t>
      </w:r>
    </w:p>
    <w:p>
      <w:pPr>
        <w:pStyle w:val="254"/>
        <w:spacing w:before="0"/>
        <w:ind w:firstLine="0" w:firstLineChars="0"/>
        <w:rPr>
          <w:rFonts w:hint="eastAsia" w:ascii="宋体" w:hAnsi="宋体" w:cs="宋体"/>
          <w:szCs w:val="24"/>
        </w:rPr>
      </w:pPr>
      <w:r>
        <w:rPr>
          <w:rFonts w:hint="eastAsia" w:ascii="宋体" w:hAnsi="宋体" w:cs="宋体"/>
          <w:b/>
          <w:color w:val="000000"/>
          <w:kern w:val="0"/>
          <w:szCs w:val="24"/>
        </w:rPr>
        <w:t>4．合格的供应商应具备的资格要求</w:t>
      </w:r>
      <w:bookmarkEnd w:id="17"/>
      <w:bookmarkEnd w:id="18"/>
      <w:bookmarkStart w:id="19" w:name="_Hlt74730303"/>
      <w:bookmarkStart w:id="20" w:name="_Toc91899877"/>
      <w:r>
        <w:rPr>
          <w:rFonts w:hint="eastAsia" w:ascii="宋体" w:hAnsi="宋体" w:cs="宋体"/>
          <w:b/>
          <w:color w:val="000000"/>
          <w:kern w:val="0"/>
          <w:szCs w:val="24"/>
        </w:rPr>
        <w:t>：</w:t>
      </w:r>
      <w:r>
        <w:rPr>
          <w:rFonts w:hint="eastAsia" w:ascii="宋体" w:hAnsi="宋体" w:cs="宋体"/>
          <w:szCs w:val="24"/>
        </w:rPr>
        <w:t>见本采购文件第一部分“招标公告”第七条。</w:t>
      </w:r>
    </w:p>
    <w:p>
      <w:pPr>
        <w:pStyle w:val="254"/>
        <w:spacing w:before="0"/>
        <w:ind w:firstLine="0" w:firstLineChars="0"/>
        <w:rPr>
          <w:rFonts w:hint="eastAsia" w:ascii="宋体" w:hAnsi="宋体" w:cs="宋体"/>
          <w:szCs w:val="24"/>
        </w:rPr>
      </w:pPr>
      <w:r>
        <w:rPr>
          <w:rFonts w:hint="eastAsia" w:ascii="宋体" w:hAnsi="宋体" w:cs="宋体"/>
          <w:b/>
          <w:color w:val="000000"/>
          <w:kern w:val="0"/>
          <w:szCs w:val="24"/>
        </w:rPr>
        <w:t>5．投标费用</w:t>
      </w:r>
      <w:bookmarkEnd w:id="19"/>
      <w:bookmarkEnd w:id="20"/>
      <w:r>
        <w:rPr>
          <w:rFonts w:hint="eastAsia" w:ascii="宋体" w:hAnsi="宋体" w:cs="宋体"/>
          <w:b/>
          <w:color w:val="000000"/>
          <w:kern w:val="0"/>
          <w:szCs w:val="24"/>
        </w:rPr>
        <w:t>：</w:t>
      </w:r>
      <w:r>
        <w:rPr>
          <w:rFonts w:hint="eastAsia" w:ascii="宋体" w:hAnsi="宋体" w:cs="宋体"/>
          <w:szCs w:val="24"/>
        </w:rPr>
        <w:t>供应商应承担其编制投标文件与递交投标文件所涉及的一切费用。无论投标过程和结果如何，供应商需自行承担涉及投标的一切费用。</w:t>
      </w:r>
    </w:p>
    <w:p>
      <w:pPr>
        <w:tabs>
          <w:tab w:val="left" w:pos="3780"/>
        </w:tabs>
        <w:spacing w:line="360" w:lineRule="auto"/>
        <w:rPr>
          <w:rFonts w:hint="eastAsia" w:ascii="宋体" w:hAnsi="宋体" w:cs="宋体"/>
          <w:sz w:val="24"/>
        </w:rPr>
      </w:pPr>
      <w:r>
        <w:rPr>
          <w:rFonts w:hint="eastAsia" w:ascii="宋体" w:hAnsi="宋体" w:cs="宋体"/>
          <w:b/>
          <w:sz w:val="24"/>
        </w:rPr>
        <w:t>6．联合体投标：</w:t>
      </w:r>
      <w:r>
        <w:rPr>
          <w:rFonts w:hint="eastAsia" w:ascii="宋体" w:hAnsi="宋体" w:cs="宋体"/>
          <w:sz w:val="24"/>
        </w:rPr>
        <w:t>不接受联合体投标。</w:t>
      </w:r>
    </w:p>
    <w:p>
      <w:pPr>
        <w:snapToGrid w:val="0"/>
        <w:spacing w:line="360" w:lineRule="auto"/>
        <w:rPr>
          <w:rFonts w:hint="eastAsia" w:ascii="宋体" w:hAnsi="宋体" w:cs="宋体"/>
          <w:sz w:val="24"/>
        </w:rPr>
      </w:pPr>
      <w:r>
        <w:rPr>
          <w:rFonts w:hint="eastAsia" w:ascii="宋体" w:hAnsi="宋体" w:cs="宋体"/>
          <w:b/>
          <w:sz w:val="24"/>
        </w:rPr>
        <w:t>7．转包与分包：</w:t>
      </w:r>
      <w:r>
        <w:rPr>
          <w:rFonts w:hint="eastAsia" w:ascii="宋体" w:hAnsi="宋体" w:cs="宋体"/>
          <w:sz w:val="24"/>
        </w:rPr>
        <w:t>（1）本项目不得分包，除非采购人同意。（2）本项目不得转包。</w:t>
      </w:r>
    </w:p>
    <w:p>
      <w:pPr>
        <w:tabs>
          <w:tab w:val="left" w:pos="3780"/>
        </w:tabs>
        <w:spacing w:line="360" w:lineRule="auto"/>
        <w:rPr>
          <w:rFonts w:hint="eastAsia" w:ascii="宋体" w:hAnsi="宋体" w:cs="宋体"/>
          <w:b/>
          <w:sz w:val="24"/>
        </w:rPr>
      </w:pPr>
      <w:r>
        <w:rPr>
          <w:rFonts w:hint="eastAsia" w:ascii="宋体" w:hAnsi="宋体" w:cs="宋体"/>
          <w:b/>
          <w:sz w:val="24"/>
        </w:rPr>
        <w:t>8．特别说明：</w:t>
      </w:r>
    </w:p>
    <w:p>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8.1多家供应商参加投标，如其中两家或两家以上供应商的法定代表人为同一人或相互之间存在投资关系且达到控股的，应当按一个供应商认定。</w:t>
      </w:r>
    </w:p>
    <w:p>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8.2供应商投标所使用的资格、信誉、荣誉、业绩与企业认证必须为本法人所拥有。供应商投标所使用的采购项目实施人员必须为本法人员工（或必须为本法人或其控股公司的工作人员）。招标文件另有约定的除外。</w:t>
      </w:r>
    </w:p>
    <w:p>
      <w:pPr>
        <w:widowControl/>
        <w:spacing w:line="360" w:lineRule="auto"/>
        <w:ind w:firstLine="480" w:firstLineChars="200"/>
        <w:rPr>
          <w:rFonts w:hint="eastAsia" w:ascii="宋体" w:hAnsi="宋体" w:cs="宋体"/>
          <w:kern w:val="0"/>
          <w:sz w:val="24"/>
        </w:rPr>
      </w:pPr>
      <w:r>
        <w:rPr>
          <w:rFonts w:hint="eastAsia" w:ascii="宋体" w:hAnsi="宋体" w:cs="宋体"/>
          <w:kern w:val="0"/>
          <w:sz w:val="24"/>
        </w:rPr>
        <w:t>8.3供应商在投标活动中提供任何虚假材料或从事其他违法活动的,其投标无效，并报监管部门查处；中标后发现的,中标人须依照《中华人民共和国消费者权益保护法》第49条之规定双倍赔偿采购人。且民事赔偿并不免除违法供应商的行政与刑事责任。</w:t>
      </w:r>
    </w:p>
    <w:p>
      <w:pPr>
        <w:tabs>
          <w:tab w:val="left" w:pos="0"/>
        </w:tabs>
        <w:autoSpaceDE w:val="0"/>
        <w:autoSpaceDN w:val="0"/>
        <w:spacing w:line="360" w:lineRule="auto"/>
        <w:ind w:firstLine="480" w:firstLineChars="200"/>
        <w:rPr>
          <w:rFonts w:hint="eastAsia" w:ascii="宋体" w:hAnsi="宋体" w:cs="宋体"/>
          <w:kern w:val="0"/>
          <w:sz w:val="24"/>
        </w:rPr>
      </w:pPr>
      <w:r>
        <w:rPr>
          <w:rFonts w:hint="eastAsia" w:ascii="宋体" w:hAnsi="宋体" w:cs="宋体"/>
          <w:kern w:val="0"/>
          <w:sz w:val="24"/>
        </w:rPr>
        <w:t>8.4供应商应仔细阅读采购文件的所有内容，按照采购文件的要求提交投标文件。投标文件应对采购文件的要求作出实质性响应，并对所提供的全部资料的真实性承担法律责任。</w:t>
      </w:r>
    </w:p>
    <w:p>
      <w:pPr>
        <w:pStyle w:val="31"/>
        <w:snapToGrid w:val="0"/>
        <w:spacing w:line="360" w:lineRule="auto"/>
        <w:ind w:firstLine="480" w:firstLineChars="200"/>
        <w:rPr>
          <w:rFonts w:hint="eastAsia" w:hAnsi="宋体" w:cs="宋体"/>
          <w:sz w:val="24"/>
          <w:szCs w:val="24"/>
        </w:rPr>
      </w:pPr>
      <w:r>
        <w:rPr>
          <w:rFonts w:hint="eastAsia" w:hAnsi="宋体" w:cs="宋体"/>
          <w:sz w:val="24"/>
          <w:szCs w:val="24"/>
        </w:rPr>
        <w:t>8.5投标文件前后描述不一，评审时将按不利于供应商的一种描述进行评审（评标委员会按采购文件规定让供应商予以澄清的除外）。</w:t>
      </w:r>
    </w:p>
    <w:p>
      <w:pPr>
        <w:pStyle w:val="31"/>
        <w:snapToGrid w:val="0"/>
        <w:spacing w:line="360" w:lineRule="auto"/>
        <w:ind w:firstLine="480" w:firstLineChars="200"/>
        <w:rPr>
          <w:rFonts w:hint="eastAsia" w:hAnsi="宋体" w:cs="宋体"/>
          <w:sz w:val="24"/>
          <w:szCs w:val="24"/>
        </w:rPr>
      </w:pPr>
      <w:r>
        <w:rPr>
          <w:rFonts w:hint="eastAsia" w:hAnsi="宋体" w:cs="宋体"/>
          <w:sz w:val="24"/>
          <w:szCs w:val="24"/>
        </w:rPr>
        <w:t xml:space="preserve">8.6关于中小企业、监狱企业、残疾人福利单位的说明 </w:t>
      </w:r>
    </w:p>
    <w:p>
      <w:pPr>
        <w:snapToGrid w:val="0"/>
        <w:spacing w:line="360" w:lineRule="auto"/>
        <w:ind w:firstLine="480" w:firstLineChars="200"/>
        <w:rPr>
          <w:rFonts w:hint="eastAsia" w:ascii="宋体" w:hAnsi="宋体" w:cs="宋体"/>
          <w:sz w:val="24"/>
        </w:rPr>
      </w:pPr>
      <w:r>
        <w:rPr>
          <w:rFonts w:hint="eastAsia" w:ascii="宋体" w:hAnsi="宋体" w:cs="宋体"/>
          <w:sz w:val="24"/>
        </w:rPr>
        <w:t>（1）中小企业（含中型、小型、微型）指符合中小企业划分标准（工信部联企业[2011]300号）。</w:t>
      </w:r>
    </w:p>
    <w:p>
      <w:pPr>
        <w:tabs>
          <w:tab w:val="left" w:pos="3780"/>
        </w:tabs>
        <w:snapToGrid w:val="0"/>
        <w:spacing w:line="360" w:lineRule="auto"/>
        <w:ind w:firstLine="480" w:firstLineChars="200"/>
        <w:jc w:val="left"/>
        <w:rPr>
          <w:rFonts w:hint="eastAsia" w:ascii="宋体" w:hAnsi="宋体" w:cs="宋体"/>
          <w:sz w:val="24"/>
        </w:rPr>
      </w:pPr>
      <w:r>
        <w:rPr>
          <w:rFonts w:hint="eastAsia" w:ascii="宋体" w:hAnsi="宋体" w:cs="宋体"/>
          <w:sz w:val="24"/>
        </w:rPr>
        <w:t>（2）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tabs>
          <w:tab w:val="left" w:pos="3780"/>
        </w:tabs>
        <w:snapToGrid w:val="0"/>
        <w:spacing w:line="360" w:lineRule="auto"/>
        <w:ind w:firstLine="480" w:firstLineChars="200"/>
        <w:jc w:val="left"/>
        <w:rPr>
          <w:rFonts w:hint="eastAsia" w:ascii="宋体" w:hAnsi="宋体" w:cs="宋体"/>
          <w:sz w:val="24"/>
        </w:rPr>
      </w:pPr>
      <w:r>
        <w:rPr>
          <w:rFonts w:hint="eastAsia" w:ascii="宋体" w:hAnsi="宋体" w:cs="宋体"/>
          <w:sz w:val="24"/>
        </w:rPr>
        <w:t>（3）残疾人福利性单位：符合《财政部 民政部 中国残疾人联合会关于促进残疾人就业政府采购政策的通知》（财库（2017）141号）的规定单位。</w:t>
      </w:r>
    </w:p>
    <w:p>
      <w:pPr>
        <w:tabs>
          <w:tab w:val="left" w:pos="3780"/>
        </w:tabs>
        <w:snapToGrid w:val="0"/>
        <w:spacing w:line="360" w:lineRule="auto"/>
        <w:jc w:val="center"/>
        <w:rPr>
          <w:rFonts w:hint="eastAsia" w:ascii="宋体" w:hAnsi="宋体" w:cs="宋体"/>
          <w:b/>
          <w:sz w:val="24"/>
        </w:rPr>
      </w:pPr>
      <w:r>
        <w:rPr>
          <w:rFonts w:hint="eastAsia" w:ascii="宋体" w:hAnsi="宋体" w:cs="宋体"/>
          <w:b/>
          <w:sz w:val="24"/>
        </w:rPr>
        <w:t>二、采购文件</w:t>
      </w:r>
    </w:p>
    <w:p>
      <w:pPr>
        <w:pStyle w:val="254"/>
        <w:spacing w:before="0"/>
        <w:ind w:firstLine="0" w:firstLineChars="0"/>
        <w:rPr>
          <w:rFonts w:hint="eastAsia" w:ascii="宋体" w:hAnsi="宋体" w:cs="宋体"/>
          <w:b/>
          <w:color w:val="000000"/>
          <w:kern w:val="0"/>
          <w:szCs w:val="24"/>
        </w:rPr>
      </w:pPr>
      <w:r>
        <w:rPr>
          <w:rFonts w:hint="eastAsia" w:ascii="宋体" w:hAnsi="宋体" w:cs="宋体"/>
          <w:b/>
          <w:color w:val="000000"/>
          <w:kern w:val="0"/>
          <w:szCs w:val="24"/>
        </w:rPr>
        <w:t>9．采购文件的构成</w:t>
      </w:r>
    </w:p>
    <w:p>
      <w:pPr>
        <w:tabs>
          <w:tab w:val="left" w:pos="3780"/>
        </w:tabs>
        <w:spacing w:line="360" w:lineRule="auto"/>
        <w:ind w:firstLine="480" w:firstLineChars="200"/>
        <w:rPr>
          <w:rFonts w:hint="eastAsia" w:ascii="宋体" w:hAnsi="宋体" w:cs="宋体"/>
          <w:sz w:val="24"/>
        </w:rPr>
      </w:pPr>
      <w:r>
        <w:rPr>
          <w:rFonts w:hint="eastAsia" w:ascii="宋体" w:hAnsi="宋体" w:cs="宋体"/>
          <w:sz w:val="24"/>
        </w:rPr>
        <w:t>9.1 采购文件包括下列文件及附件</w:t>
      </w:r>
    </w:p>
    <w:p>
      <w:pPr>
        <w:pStyle w:val="31"/>
        <w:numPr>
          <w:ilvl w:val="0"/>
          <w:numId w:val="10"/>
        </w:numPr>
        <w:adjustRightInd/>
        <w:spacing w:line="360" w:lineRule="auto"/>
        <w:ind w:left="839" w:firstLine="480" w:firstLineChars="200"/>
        <w:rPr>
          <w:rFonts w:hint="eastAsia" w:hAnsi="宋体" w:cs="宋体"/>
          <w:sz w:val="24"/>
          <w:szCs w:val="24"/>
        </w:rPr>
      </w:pPr>
      <w:r>
        <w:rPr>
          <w:rFonts w:hint="eastAsia" w:hAnsi="宋体" w:cs="宋体"/>
          <w:sz w:val="24"/>
          <w:szCs w:val="24"/>
        </w:rPr>
        <w:t>第一部分 招标公告</w:t>
      </w:r>
    </w:p>
    <w:p>
      <w:pPr>
        <w:pStyle w:val="31"/>
        <w:numPr>
          <w:ilvl w:val="0"/>
          <w:numId w:val="10"/>
        </w:numPr>
        <w:adjustRightInd/>
        <w:spacing w:line="360" w:lineRule="auto"/>
        <w:ind w:left="839" w:firstLine="480" w:firstLineChars="200"/>
        <w:rPr>
          <w:rFonts w:hint="eastAsia" w:hAnsi="宋体" w:cs="宋体"/>
          <w:sz w:val="24"/>
          <w:szCs w:val="24"/>
        </w:rPr>
      </w:pPr>
      <w:r>
        <w:rPr>
          <w:rFonts w:hint="eastAsia" w:hAnsi="宋体" w:cs="宋体"/>
          <w:sz w:val="24"/>
          <w:szCs w:val="24"/>
        </w:rPr>
        <w:t>第二部分 采购需求</w:t>
      </w:r>
    </w:p>
    <w:p>
      <w:pPr>
        <w:pStyle w:val="31"/>
        <w:numPr>
          <w:ilvl w:val="0"/>
          <w:numId w:val="10"/>
        </w:numPr>
        <w:adjustRightInd/>
        <w:spacing w:line="360" w:lineRule="auto"/>
        <w:ind w:left="839" w:firstLine="480" w:firstLineChars="200"/>
        <w:rPr>
          <w:rFonts w:hint="eastAsia" w:hAnsi="宋体" w:cs="宋体"/>
          <w:sz w:val="24"/>
          <w:szCs w:val="24"/>
        </w:rPr>
      </w:pPr>
      <w:r>
        <w:rPr>
          <w:rFonts w:hint="eastAsia" w:hAnsi="宋体" w:cs="宋体"/>
          <w:sz w:val="24"/>
          <w:szCs w:val="24"/>
        </w:rPr>
        <w:t>第三部分 投标人须知</w:t>
      </w:r>
    </w:p>
    <w:p>
      <w:pPr>
        <w:pStyle w:val="31"/>
        <w:numPr>
          <w:ilvl w:val="0"/>
          <w:numId w:val="10"/>
        </w:numPr>
        <w:adjustRightInd/>
        <w:spacing w:line="360" w:lineRule="auto"/>
        <w:ind w:left="839" w:firstLine="480" w:firstLineChars="200"/>
        <w:rPr>
          <w:rFonts w:hint="eastAsia" w:hAnsi="宋体" w:cs="宋体"/>
          <w:sz w:val="24"/>
          <w:szCs w:val="24"/>
        </w:rPr>
      </w:pPr>
      <w:r>
        <w:rPr>
          <w:rFonts w:hint="eastAsia" w:hAnsi="宋体" w:cs="宋体"/>
          <w:sz w:val="24"/>
          <w:szCs w:val="24"/>
        </w:rPr>
        <w:t>第四部分 评标办法及评分标准</w:t>
      </w:r>
    </w:p>
    <w:p>
      <w:pPr>
        <w:pStyle w:val="31"/>
        <w:numPr>
          <w:ilvl w:val="0"/>
          <w:numId w:val="10"/>
        </w:numPr>
        <w:adjustRightInd/>
        <w:spacing w:line="360" w:lineRule="auto"/>
        <w:ind w:left="839" w:firstLine="480" w:firstLineChars="200"/>
        <w:rPr>
          <w:rFonts w:hint="eastAsia" w:hAnsi="宋体" w:cs="宋体"/>
          <w:sz w:val="24"/>
          <w:szCs w:val="24"/>
        </w:rPr>
      </w:pPr>
      <w:r>
        <w:rPr>
          <w:rFonts w:hint="eastAsia" w:hAnsi="宋体" w:cs="宋体"/>
          <w:sz w:val="24"/>
          <w:szCs w:val="24"/>
        </w:rPr>
        <w:t>第五部分 拟签订的合同文本</w:t>
      </w:r>
    </w:p>
    <w:p>
      <w:pPr>
        <w:pStyle w:val="31"/>
        <w:numPr>
          <w:ilvl w:val="0"/>
          <w:numId w:val="10"/>
        </w:numPr>
        <w:adjustRightInd/>
        <w:spacing w:line="360" w:lineRule="auto"/>
        <w:ind w:left="839" w:firstLine="480" w:firstLineChars="200"/>
        <w:rPr>
          <w:rFonts w:hint="eastAsia" w:hAnsi="宋体" w:cs="宋体"/>
          <w:sz w:val="24"/>
          <w:szCs w:val="24"/>
        </w:rPr>
      </w:pPr>
      <w:r>
        <w:rPr>
          <w:rFonts w:hint="eastAsia" w:hAnsi="宋体" w:cs="宋体"/>
          <w:sz w:val="24"/>
          <w:szCs w:val="24"/>
        </w:rPr>
        <w:t>第六部分 投标文件格式</w:t>
      </w:r>
    </w:p>
    <w:p>
      <w:pPr>
        <w:pStyle w:val="254"/>
        <w:spacing w:before="0"/>
        <w:ind w:firstLine="480"/>
        <w:rPr>
          <w:rFonts w:hint="eastAsia" w:ascii="宋体" w:hAnsi="宋体" w:cs="宋体"/>
          <w:color w:val="000000"/>
          <w:szCs w:val="24"/>
        </w:rPr>
      </w:pPr>
      <w:r>
        <w:rPr>
          <w:rFonts w:hint="eastAsia" w:ascii="宋体" w:hAnsi="宋体" w:cs="宋体"/>
          <w:color w:val="000000"/>
          <w:szCs w:val="24"/>
        </w:rPr>
        <w:t>9.2供应商应认真审阅采购文件中所有的内容。如果供应商编制的投标文件没有从实质上响应采购文件的要求，其投标文件将被采购人拒绝。</w:t>
      </w:r>
    </w:p>
    <w:p>
      <w:pPr>
        <w:pStyle w:val="254"/>
        <w:spacing w:before="0"/>
        <w:ind w:firstLine="0" w:firstLineChars="0"/>
        <w:rPr>
          <w:rFonts w:ascii="宋体" w:hAnsi="宋体" w:cs="宋体"/>
          <w:b/>
          <w:color w:val="000000"/>
          <w:kern w:val="0"/>
          <w:szCs w:val="24"/>
        </w:rPr>
      </w:pPr>
      <w:r>
        <w:rPr>
          <w:rFonts w:hint="eastAsia" w:ascii="宋体" w:hAnsi="宋体" w:cs="宋体"/>
          <w:b/>
          <w:color w:val="000000"/>
          <w:kern w:val="0"/>
          <w:szCs w:val="24"/>
        </w:rPr>
        <w:t>10．质疑和投诉</w:t>
      </w:r>
    </w:p>
    <w:p>
      <w:pPr>
        <w:pStyle w:val="375"/>
        <w:snapToGrid w:val="0"/>
        <w:spacing w:line="360" w:lineRule="auto"/>
        <w:ind w:firstLine="480" w:firstLineChars="200"/>
        <w:rPr>
          <w:rFonts w:ascii="宋体" w:hAnsi="宋体"/>
          <w:bCs/>
        </w:rPr>
      </w:pPr>
      <w:r>
        <w:rPr>
          <w:rFonts w:hint="eastAsia" w:ascii="宋体" w:hAnsi="宋体"/>
          <w:bCs/>
        </w:rPr>
        <w:t>10.</w:t>
      </w:r>
      <w:r>
        <w:rPr>
          <w:rFonts w:ascii="宋体" w:hAnsi="宋体"/>
          <w:bCs/>
        </w:rPr>
        <w:t>1</w:t>
      </w:r>
      <w:r>
        <w:rPr>
          <w:rFonts w:ascii="Arial" w:hAnsi="Arial" w:cs="Arial"/>
          <w:szCs w:val="24"/>
          <w:shd w:val="clear" w:color="auto" w:fill="FFFFFF"/>
        </w:rPr>
        <w:t>供应商认为采购文件、采购过程、中标或者成交结果使自己的权益受到损害的，可以在知道或者应知其权益受到损害之日起7个工作日内</w:t>
      </w:r>
      <w:r>
        <w:rPr>
          <w:rFonts w:ascii="宋体" w:hAnsi="宋体"/>
          <w:bCs/>
        </w:rPr>
        <w:t>，以书面形式向采购人、采购代理机构</w:t>
      </w:r>
      <w:r>
        <w:rPr>
          <w:rFonts w:hint="eastAsia" w:ascii="宋体" w:hAnsi="宋体"/>
          <w:b/>
        </w:rPr>
        <w:t>一次性提出</w:t>
      </w:r>
      <w:r>
        <w:rPr>
          <w:rFonts w:hint="eastAsia" w:ascii="宋体" w:hAnsi="宋体"/>
          <w:bCs/>
        </w:rPr>
        <w:t>针对同一采购程序环节的质疑</w:t>
      </w:r>
      <w:r>
        <w:rPr>
          <w:rFonts w:ascii="宋体" w:hAnsi="宋体"/>
          <w:bCs/>
        </w:rPr>
        <w:t>。质疑供应商对采购人、采购代理机构的答复不满意，或者采购人、采购代理机构未在规定时间内作出答复的，可以在答复期满后15个工作日内向</w:t>
      </w:r>
      <w:r>
        <w:rPr>
          <w:rFonts w:hint="eastAsia" w:ascii="宋体" w:hAnsi="宋体"/>
          <w:bCs/>
        </w:rPr>
        <w:t>本级</w:t>
      </w:r>
      <w:r>
        <w:rPr>
          <w:rFonts w:ascii="宋体" w:hAnsi="宋体"/>
          <w:bCs/>
        </w:rPr>
        <w:t>财政部门</w:t>
      </w:r>
      <w:r>
        <w:rPr>
          <w:rFonts w:hint="eastAsia" w:ascii="宋体" w:hAnsi="宋体"/>
          <w:bCs/>
        </w:rPr>
        <w:t>（按照采购人所属预算级次）</w:t>
      </w:r>
      <w:r>
        <w:rPr>
          <w:rFonts w:ascii="宋体" w:hAnsi="宋体"/>
          <w:bCs/>
        </w:rPr>
        <w:t>提起投诉。</w:t>
      </w:r>
    </w:p>
    <w:p>
      <w:pPr>
        <w:pStyle w:val="375"/>
        <w:snapToGrid w:val="0"/>
        <w:spacing w:line="360" w:lineRule="auto"/>
        <w:ind w:firstLine="480" w:firstLineChars="200"/>
        <w:rPr>
          <w:rFonts w:ascii="Arial" w:hAnsi="Arial" w:cs="Arial"/>
          <w:b/>
          <w:bCs/>
          <w:szCs w:val="24"/>
          <w:shd w:val="clear" w:color="auto" w:fill="FFFFFF"/>
        </w:rPr>
      </w:pPr>
      <w:r>
        <w:rPr>
          <w:rFonts w:hint="eastAsia" w:ascii="宋体" w:hAnsi="宋体"/>
          <w:bCs/>
        </w:rPr>
        <w:t>10.</w:t>
      </w:r>
      <w:r>
        <w:rPr>
          <w:rFonts w:ascii="宋体" w:hAnsi="宋体"/>
          <w:bCs/>
        </w:rPr>
        <w:t>2</w:t>
      </w:r>
      <w:r>
        <w:rPr>
          <w:rFonts w:hint="eastAsia" w:ascii="宋体" w:hAnsi="宋体"/>
          <w:b/>
        </w:rPr>
        <w:t xml:space="preserve"> </w:t>
      </w:r>
      <w:r>
        <w:rPr>
          <w:rFonts w:hint="eastAsia" w:ascii="宋体" w:hAnsi="宋体"/>
          <w:bCs/>
        </w:rPr>
        <w:t>供应商可以委托代理人进行质疑和投诉。</w:t>
      </w:r>
      <w:r>
        <w:rPr>
          <w:rFonts w:ascii="Arial" w:hAnsi="Arial" w:cs="Arial"/>
          <w:szCs w:val="24"/>
          <w:shd w:val="clear" w:color="auto" w:fill="FFFFFF"/>
        </w:rPr>
        <w:t>代理人提出质疑和投诉，应当提交供应商签署的</w:t>
      </w:r>
      <w:r>
        <w:rPr>
          <w:rFonts w:ascii="Arial" w:hAnsi="Arial" w:cs="Arial"/>
          <w:b/>
          <w:bCs/>
          <w:szCs w:val="24"/>
          <w:shd w:val="clear" w:color="auto" w:fill="FFFFFF"/>
        </w:rPr>
        <w:t>授权委托书</w:t>
      </w:r>
      <w:r>
        <w:rPr>
          <w:rFonts w:ascii="Arial" w:hAnsi="Arial" w:cs="Arial"/>
          <w:szCs w:val="24"/>
          <w:shd w:val="clear" w:color="auto" w:fill="FFFFFF"/>
        </w:rPr>
        <w:t>。其授权委托书应当载明代理人的姓名或者名称、代理事项、具体权限、期限和相关事项。供应商为自然人的，应当由本人签字；供应商为法人或者其他组织的，应当由</w:t>
      </w:r>
      <w:r>
        <w:rPr>
          <w:rFonts w:ascii="Arial" w:hAnsi="Arial" w:cs="Arial"/>
          <w:b/>
          <w:bCs/>
          <w:szCs w:val="24"/>
          <w:shd w:val="clear" w:color="auto" w:fill="FFFFFF"/>
        </w:rPr>
        <w:t>法定代表人、主要负责人，或者其授权代表签字或者盖章，并加盖公章。</w:t>
      </w:r>
    </w:p>
    <w:p>
      <w:pPr>
        <w:pStyle w:val="375"/>
        <w:snapToGrid w:val="0"/>
        <w:spacing w:line="360" w:lineRule="auto"/>
        <w:ind w:firstLine="482" w:firstLineChars="200"/>
        <w:rPr>
          <w:rFonts w:hint="eastAsia" w:ascii="Arial" w:hAnsi="Arial" w:cs="Arial"/>
          <w:szCs w:val="24"/>
          <w:shd w:val="clear" w:color="auto" w:fill="FFFFFF"/>
        </w:rPr>
      </w:pPr>
      <w:r>
        <w:rPr>
          <w:rFonts w:hint="eastAsia" w:ascii="宋体" w:hAnsi="宋体"/>
          <w:b/>
        </w:rPr>
        <w:t>供应商提出质疑时，应提交质疑函和必要的证明材料。</w:t>
      </w:r>
      <w:r>
        <w:rPr>
          <w:rFonts w:hint="eastAsia" w:ascii="Arial" w:hAnsi="Arial" w:cs="Arial"/>
          <w:szCs w:val="24"/>
          <w:shd w:val="clear" w:color="auto" w:fill="FFFFFF"/>
        </w:rPr>
        <w:t>质疑函的质疑请求应与质疑事项相关。质疑函的质疑事项应具体、明确，并有必要的事实依据和法律依据。</w:t>
      </w:r>
      <w:r>
        <w:rPr>
          <w:rFonts w:hint="eastAsia" w:ascii="Arial" w:hAnsi="Arial" w:cs="Arial"/>
          <w:b/>
          <w:bCs/>
          <w:szCs w:val="24"/>
          <w:shd w:val="clear" w:color="auto" w:fill="FFFFFF"/>
        </w:rPr>
        <w:t>否则，采购代理机构将不予受理</w:t>
      </w:r>
      <w:r>
        <w:rPr>
          <w:rFonts w:hint="eastAsia" w:ascii="Arial" w:hAnsi="Arial" w:cs="Arial"/>
          <w:szCs w:val="24"/>
          <w:shd w:val="clear" w:color="auto" w:fill="FFFFFF"/>
        </w:rPr>
        <w:t>。</w:t>
      </w:r>
    </w:p>
    <w:p>
      <w:pPr>
        <w:pStyle w:val="375"/>
        <w:snapToGrid w:val="0"/>
        <w:spacing w:line="360" w:lineRule="auto"/>
        <w:ind w:firstLine="241" w:firstLineChars="100"/>
        <w:rPr>
          <w:rFonts w:hint="eastAsia" w:ascii="Arial" w:hAnsi="Arial" w:cs="Arial"/>
          <w:szCs w:val="24"/>
          <w:shd w:val="clear" w:color="auto" w:fill="FFFFFF"/>
        </w:rPr>
      </w:pPr>
      <w:r>
        <w:rPr>
          <w:rFonts w:hint="eastAsia" w:ascii="Arial" w:hAnsi="Arial" w:cs="Arial"/>
          <w:b/>
          <w:bCs/>
          <w:szCs w:val="24"/>
          <w:shd w:val="clear" w:color="auto" w:fill="FFFFFF"/>
        </w:rPr>
        <w:t>质疑函</w:t>
      </w:r>
      <w:r>
        <w:rPr>
          <w:rFonts w:hint="eastAsia" w:ascii="Arial" w:hAnsi="Arial" w:cs="Arial"/>
          <w:szCs w:val="24"/>
          <w:shd w:val="clear" w:color="auto" w:fill="FFFFFF"/>
        </w:rPr>
        <w:t>应当包括下列内容：</w:t>
      </w:r>
    </w:p>
    <w:p>
      <w:pPr>
        <w:pStyle w:val="375"/>
        <w:numPr>
          <w:ilvl w:val="0"/>
          <w:numId w:val="11"/>
        </w:numPr>
        <w:snapToGrid w:val="0"/>
        <w:spacing w:line="360" w:lineRule="auto"/>
        <w:rPr>
          <w:rFonts w:ascii="Arial" w:hAnsi="Arial" w:cs="Arial"/>
          <w:szCs w:val="24"/>
          <w:shd w:val="clear" w:color="auto" w:fill="FFFFFF"/>
        </w:rPr>
      </w:pPr>
      <w:r>
        <w:rPr>
          <w:rFonts w:ascii="Arial" w:hAnsi="Arial" w:cs="Arial"/>
          <w:szCs w:val="24"/>
          <w:shd w:val="clear" w:color="auto" w:fill="FFFFFF"/>
        </w:rPr>
        <w:t>供应商的姓名或者名称、地址、邮编、联系人及联系电话；</w:t>
      </w:r>
    </w:p>
    <w:p>
      <w:pPr>
        <w:pStyle w:val="375"/>
        <w:numPr>
          <w:ilvl w:val="0"/>
          <w:numId w:val="11"/>
        </w:numPr>
        <w:snapToGrid w:val="0"/>
        <w:spacing w:line="360" w:lineRule="auto"/>
        <w:rPr>
          <w:rFonts w:ascii="Arial" w:hAnsi="Arial" w:cs="Arial"/>
          <w:szCs w:val="24"/>
          <w:shd w:val="clear" w:color="auto" w:fill="FFFFFF"/>
        </w:rPr>
      </w:pPr>
      <w:r>
        <w:rPr>
          <w:rFonts w:ascii="Arial" w:hAnsi="Arial" w:cs="Arial"/>
          <w:szCs w:val="24"/>
          <w:shd w:val="clear" w:color="auto" w:fill="FFFFFF"/>
        </w:rPr>
        <w:t>质疑项目的名称、编号；</w:t>
      </w:r>
    </w:p>
    <w:p>
      <w:pPr>
        <w:pStyle w:val="375"/>
        <w:numPr>
          <w:ilvl w:val="0"/>
          <w:numId w:val="11"/>
        </w:numPr>
        <w:snapToGrid w:val="0"/>
        <w:spacing w:line="360" w:lineRule="auto"/>
        <w:rPr>
          <w:rFonts w:ascii="Arial" w:hAnsi="Arial" w:cs="Arial"/>
          <w:szCs w:val="24"/>
          <w:shd w:val="clear" w:color="auto" w:fill="FFFFFF"/>
        </w:rPr>
      </w:pPr>
      <w:r>
        <w:rPr>
          <w:rFonts w:ascii="Arial" w:hAnsi="Arial" w:cs="Arial"/>
          <w:szCs w:val="24"/>
          <w:shd w:val="clear" w:color="auto" w:fill="FFFFFF"/>
        </w:rPr>
        <w:t>具体、明确的质疑事项和与质疑事项相关的请求；</w:t>
      </w:r>
    </w:p>
    <w:p>
      <w:pPr>
        <w:pStyle w:val="375"/>
        <w:numPr>
          <w:ilvl w:val="0"/>
          <w:numId w:val="11"/>
        </w:numPr>
        <w:snapToGrid w:val="0"/>
        <w:spacing w:line="360" w:lineRule="auto"/>
        <w:rPr>
          <w:rFonts w:ascii="Arial" w:hAnsi="Arial" w:cs="Arial"/>
          <w:szCs w:val="24"/>
          <w:shd w:val="clear" w:color="auto" w:fill="FFFFFF"/>
        </w:rPr>
      </w:pPr>
      <w:r>
        <w:rPr>
          <w:rFonts w:ascii="Arial" w:hAnsi="Arial" w:cs="Arial"/>
          <w:szCs w:val="24"/>
          <w:shd w:val="clear" w:color="auto" w:fill="FFFFFF"/>
        </w:rPr>
        <w:t>事实依据；</w:t>
      </w:r>
    </w:p>
    <w:p>
      <w:pPr>
        <w:pStyle w:val="375"/>
        <w:numPr>
          <w:ilvl w:val="0"/>
          <w:numId w:val="11"/>
        </w:numPr>
        <w:snapToGrid w:val="0"/>
        <w:spacing w:line="360" w:lineRule="auto"/>
        <w:rPr>
          <w:rFonts w:ascii="Arial" w:hAnsi="Arial" w:cs="Arial"/>
          <w:szCs w:val="24"/>
          <w:shd w:val="clear" w:color="auto" w:fill="FFFFFF"/>
        </w:rPr>
      </w:pPr>
      <w:r>
        <w:rPr>
          <w:rFonts w:ascii="Arial" w:hAnsi="Arial" w:cs="Arial"/>
          <w:szCs w:val="24"/>
          <w:shd w:val="clear" w:color="auto" w:fill="FFFFFF"/>
        </w:rPr>
        <w:t>必要的法律依据；</w:t>
      </w:r>
    </w:p>
    <w:p>
      <w:pPr>
        <w:pStyle w:val="375"/>
        <w:numPr>
          <w:ilvl w:val="0"/>
          <w:numId w:val="11"/>
        </w:numPr>
        <w:snapToGrid w:val="0"/>
        <w:spacing w:line="360" w:lineRule="auto"/>
        <w:rPr>
          <w:rFonts w:ascii="Arial" w:hAnsi="Arial" w:cs="Arial"/>
          <w:szCs w:val="24"/>
          <w:shd w:val="clear" w:color="auto" w:fill="FFFFFF"/>
        </w:rPr>
      </w:pPr>
      <w:r>
        <w:rPr>
          <w:rFonts w:ascii="Arial" w:hAnsi="Arial" w:cs="Arial"/>
          <w:szCs w:val="24"/>
          <w:shd w:val="clear" w:color="auto" w:fill="FFFFFF"/>
        </w:rPr>
        <w:t>提出质疑的日期。</w:t>
      </w:r>
    </w:p>
    <w:p>
      <w:pPr>
        <w:pStyle w:val="375"/>
        <w:snapToGrid w:val="0"/>
        <w:spacing w:line="360" w:lineRule="auto"/>
        <w:rPr>
          <w:rFonts w:hAnsi="宋体"/>
          <w:bCs/>
        </w:rPr>
      </w:pPr>
      <w:r>
        <w:rPr>
          <w:rFonts w:hint="eastAsia" w:ascii="Arial" w:hAnsi="Arial" w:cs="Arial"/>
          <w:b/>
          <w:bCs/>
          <w:szCs w:val="24"/>
          <w:shd w:val="clear" w:color="auto" w:fill="FFFFFF"/>
        </w:rPr>
        <w:t>注：政府采购供应商质疑函和政府采购供应商投诉书范本可在财政部门户网站和中国政府采购网下载。未按规定格式、内容提出的，采购代理机构将不予受理。</w:t>
      </w:r>
    </w:p>
    <w:p>
      <w:pPr>
        <w:pStyle w:val="254"/>
        <w:spacing w:before="0"/>
        <w:ind w:firstLine="0" w:firstLineChars="0"/>
        <w:rPr>
          <w:rFonts w:hint="eastAsia" w:ascii="宋体" w:hAnsi="宋体" w:cs="宋体"/>
          <w:b/>
          <w:color w:val="000000"/>
          <w:kern w:val="0"/>
          <w:szCs w:val="24"/>
        </w:rPr>
      </w:pPr>
      <w:r>
        <w:rPr>
          <w:rFonts w:hint="eastAsia" w:ascii="宋体" w:hAnsi="宋体" w:cs="宋体"/>
          <w:b/>
          <w:color w:val="000000"/>
          <w:kern w:val="0"/>
          <w:szCs w:val="24"/>
        </w:rPr>
        <w:t>11．采购文件的修改</w:t>
      </w:r>
    </w:p>
    <w:p>
      <w:pPr>
        <w:pStyle w:val="254"/>
        <w:spacing w:before="0"/>
        <w:ind w:firstLine="480"/>
        <w:rPr>
          <w:rFonts w:hint="eastAsia" w:ascii="宋体" w:hAnsi="宋体" w:cs="宋体"/>
          <w:color w:val="000000"/>
          <w:szCs w:val="24"/>
        </w:rPr>
      </w:pPr>
      <w:r>
        <w:rPr>
          <w:rFonts w:hint="eastAsia" w:ascii="宋体" w:hAnsi="宋体" w:cs="宋体"/>
          <w:color w:val="000000"/>
          <w:szCs w:val="24"/>
        </w:rPr>
        <w:t>11.1投标人应认真阅读本招标文件，发现本文件表述不清晰、存在歧视性、排他性或者其他违法内容的，应当于采购文件发布后7个工作日内，一次性以书面形式要求招标采购单位作出书面解释、澄清或者向招标采购单位提出书面质疑。招标采购单位对已发出的招标文件进行必要澄清、答复、修改或补充的，应当在招标文件要求提交投标文件截止时间三日前，在财政部门指定的政府采购信息发布媒体上发布澄清或更正公告，并以传真或邮件（原文扫描件）或网上公告等形式告知所有已登记获取采购文件的供应商。</w:t>
      </w:r>
    </w:p>
    <w:p>
      <w:pPr>
        <w:pStyle w:val="254"/>
        <w:spacing w:before="0"/>
        <w:ind w:firstLine="480"/>
        <w:rPr>
          <w:rFonts w:hint="eastAsia" w:ascii="宋体" w:hAnsi="宋体" w:cs="宋体"/>
          <w:color w:val="000000"/>
          <w:szCs w:val="24"/>
        </w:rPr>
      </w:pPr>
      <w:r>
        <w:rPr>
          <w:rFonts w:hint="eastAsia" w:ascii="宋体" w:hAnsi="宋体" w:cs="宋体"/>
          <w:color w:val="000000"/>
          <w:szCs w:val="24"/>
        </w:rPr>
        <w:t>11.2招标采购单位必须以传真或邮件（原文扫描件）或网上公告等答复投标人要求澄清的问题，并将不包含问题来源的答复以此形式通知所有获取招标文件的投标人；除传真或邮件（原文扫描件）或网上公告形式答复以外的其他澄清方式及澄清内容均无效。</w:t>
      </w:r>
    </w:p>
    <w:p>
      <w:pPr>
        <w:pStyle w:val="254"/>
        <w:spacing w:before="0"/>
        <w:ind w:firstLine="480"/>
        <w:rPr>
          <w:rFonts w:hint="eastAsia" w:ascii="宋体" w:hAnsi="宋体" w:cs="宋体"/>
          <w:color w:val="000000"/>
          <w:szCs w:val="24"/>
        </w:rPr>
      </w:pPr>
      <w:r>
        <w:rPr>
          <w:rFonts w:hint="eastAsia" w:ascii="宋体" w:hAnsi="宋体" w:cs="宋体"/>
          <w:color w:val="000000"/>
          <w:szCs w:val="24"/>
        </w:rPr>
        <w:t>11.3招标文件澄清、答复、修改、补充的内容为招标文件的组成部分。当招标文件与招标文件的答复、澄清、修改、补充通知就同一内容的表述不一致时，以最后发出的文件为准。</w:t>
      </w:r>
    </w:p>
    <w:p>
      <w:pPr>
        <w:pStyle w:val="254"/>
        <w:spacing w:before="0"/>
        <w:ind w:firstLine="480"/>
        <w:rPr>
          <w:rFonts w:hint="eastAsia" w:ascii="宋体" w:hAnsi="宋体" w:cs="宋体"/>
          <w:color w:val="000000"/>
          <w:szCs w:val="24"/>
        </w:rPr>
      </w:pPr>
      <w:r>
        <w:rPr>
          <w:rFonts w:hint="eastAsia" w:ascii="宋体" w:hAnsi="宋体" w:cs="宋体"/>
          <w:color w:val="000000"/>
          <w:szCs w:val="24"/>
        </w:rPr>
        <w:t>11.4招标文件的澄清、答复、修改或补充都应该通过本招标机构以法定形式发布，采购单位非通过本机构，不得擅自澄清、答复、修改或补充招标文件。</w:t>
      </w:r>
    </w:p>
    <w:p>
      <w:pPr>
        <w:pStyle w:val="254"/>
        <w:spacing w:before="0"/>
        <w:ind w:firstLine="480"/>
        <w:rPr>
          <w:rFonts w:hint="eastAsia" w:ascii="宋体" w:hAnsi="宋体" w:cs="宋体"/>
          <w:color w:val="000000"/>
          <w:szCs w:val="24"/>
        </w:rPr>
      </w:pPr>
      <w:r>
        <w:rPr>
          <w:rFonts w:hint="eastAsia" w:ascii="宋体" w:hAnsi="宋体" w:cs="宋体"/>
          <w:color w:val="000000"/>
          <w:szCs w:val="24"/>
        </w:rPr>
        <w:t>11.5若有必要，采购代理机构将酌情推迟递交投标文件的截止日期。</w:t>
      </w:r>
    </w:p>
    <w:p>
      <w:pPr>
        <w:pStyle w:val="254"/>
        <w:spacing w:before="0"/>
        <w:ind w:firstLine="0" w:firstLineChars="0"/>
        <w:rPr>
          <w:rFonts w:hint="eastAsia" w:ascii="宋体" w:hAnsi="宋体" w:cs="宋体"/>
          <w:b/>
          <w:color w:val="000000"/>
          <w:kern w:val="0"/>
          <w:szCs w:val="24"/>
        </w:rPr>
      </w:pPr>
      <w:r>
        <w:rPr>
          <w:rFonts w:hint="eastAsia" w:ascii="宋体" w:hAnsi="宋体" w:cs="宋体"/>
          <w:b/>
          <w:color w:val="000000"/>
          <w:kern w:val="0"/>
          <w:szCs w:val="24"/>
        </w:rPr>
        <w:t>12．投标报价</w:t>
      </w:r>
    </w:p>
    <w:p>
      <w:pPr>
        <w:pStyle w:val="254"/>
        <w:spacing w:before="0"/>
        <w:ind w:firstLine="480"/>
        <w:rPr>
          <w:rFonts w:hint="eastAsia" w:ascii="宋体" w:hAnsi="宋体" w:cs="宋体"/>
          <w:color w:val="000000"/>
          <w:szCs w:val="24"/>
        </w:rPr>
      </w:pPr>
      <w:r>
        <w:rPr>
          <w:rFonts w:hint="eastAsia" w:ascii="宋体" w:hAnsi="宋体" w:cs="宋体"/>
          <w:color w:val="000000"/>
          <w:szCs w:val="24"/>
        </w:rPr>
        <w:t>12.1基本要求</w:t>
      </w:r>
    </w:p>
    <w:p>
      <w:pPr>
        <w:spacing w:line="360" w:lineRule="auto"/>
        <w:ind w:firstLine="480" w:firstLineChars="200"/>
        <w:rPr>
          <w:rFonts w:hint="eastAsia" w:ascii="宋体" w:hAnsi="宋体" w:cs="宋体"/>
          <w:sz w:val="24"/>
        </w:rPr>
      </w:pPr>
      <w:r>
        <w:rPr>
          <w:rFonts w:hint="eastAsia" w:ascii="宋体" w:hAnsi="宋体" w:cs="宋体"/>
          <w:sz w:val="24"/>
        </w:rPr>
        <w:t>12.1.1供应商应根据《投标（开标）一览表》填写相关内容。</w:t>
      </w:r>
    </w:p>
    <w:p>
      <w:pPr>
        <w:pStyle w:val="254"/>
        <w:spacing w:before="0"/>
        <w:ind w:firstLine="480"/>
        <w:rPr>
          <w:rFonts w:hint="eastAsia" w:ascii="宋体" w:hAnsi="宋体" w:cs="宋体"/>
          <w:color w:val="000000"/>
          <w:szCs w:val="24"/>
        </w:rPr>
      </w:pPr>
      <w:r>
        <w:rPr>
          <w:rFonts w:hint="eastAsia" w:ascii="宋体" w:hAnsi="宋体" w:cs="宋体"/>
          <w:color w:val="000000"/>
          <w:szCs w:val="24"/>
        </w:rPr>
        <w:t>12.2报价</w:t>
      </w:r>
    </w:p>
    <w:p>
      <w:pPr>
        <w:tabs>
          <w:tab w:val="left" w:pos="3780"/>
        </w:tabs>
        <w:snapToGrid w:val="0"/>
        <w:spacing w:line="360" w:lineRule="auto"/>
        <w:ind w:firstLine="480" w:firstLineChars="200"/>
        <w:jc w:val="left"/>
        <w:rPr>
          <w:rFonts w:hint="eastAsia" w:ascii="宋体" w:hAnsi="宋体" w:cs="宋体"/>
          <w:sz w:val="24"/>
        </w:rPr>
      </w:pPr>
      <w:r>
        <w:rPr>
          <w:rFonts w:hint="eastAsia" w:ascii="宋体" w:hAnsi="宋体" w:cs="宋体"/>
          <w:sz w:val="24"/>
        </w:rPr>
        <w:t>12.2.1有关本项目所需的</w:t>
      </w:r>
      <w:r>
        <w:rPr>
          <w:rFonts w:hint="eastAsia" w:ascii="宋体" w:hAnsi="宋体"/>
          <w:sz w:val="24"/>
          <w:lang w:eastAsia="zh-CN"/>
        </w:rPr>
        <w:t>货款</w:t>
      </w:r>
      <w:r>
        <w:rPr>
          <w:rFonts w:hint="eastAsia" w:ascii="宋体" w:hAnsi="宋体"/>
          <w:sz w:val="24"/>
        </w:rPr>
        <w:t>、安装调试、服务费、培训、检测验收、税金及交付使用后维保等</w:t>
      </w:r>
      <w:r>
        <w:rPr>
          <w:rFonts w:hint="eastAsia" w:ascii="宋体" w:hAnsi="宋体" w:cs="宋体"/>
          <w:sz w:val="24"/>
        </w:rPr>
        <w:t>完成本项目所需的一切费用均计入报价。</w:t>
      </w:r>
      <w:r>
        <w:rPr>
          <w:rFonts w:hint="eastAsia" w:ascii="宋体" w:hAnsi="宋体" w:cs="宋体"/>
          <w:b/>
          <w:sz w:val="24"/>
        </w:rPr>
        <w:t>《</w:t>
      </w:r>
      <w:r>
        <w:rPr>
          <w:rFonts w:hint="eastAsia" w:ascii="宋体" w:hAnsi="宋体" w:cs="宋体"/>
          <w:b/>
          <w:bCs/>
          <w:sz w:val="24"/>
        </w:rPr>
        <w:t>投标（开标）一览表》是报价的唯一载体。</w:t>
      </w:r>
    </w:p>
    <w:p>
      <w:pPr>
        <w:pStyle w:val="254"/>
        <w:spacing w:before="0"/>
        <w:ind w:firstLine="480"/>
        <w:rPr>
          <w:rFonts w:hint="eastAsia" w:ascii="宋体" w:hAnsi="宋体" w:cs="宋体"/>
          <w:color w:val="000000"/>
          <w:szCs w:val="24"/>
        </w:rPr>
      </w:pPr>
      <w:r>
        <w:rPr>
          <w:rFonts w:hint="eastAsia" w:ascii="宋体" w:hAnsi="宋体" w:cs="宋体"/>
          <w:color w:val="000000"/>
          <w:szCs w:val="24"/>
        </w:rPr>
        <w:t>12.3其它费用处理</w:t>
      </w:r>
    </w:p>
    <w:p>
      <w:pPr>
        <w:autoSpaceDE w:val="0"/>
        <w:autoSpaceDN w:val="0"/>
        <w:spacing w:line="360" w:lineRule="auto"/>
        <w:ind w:firstLine="480" w:firstLineChars="200"/>
        <w:rPr>
          <w:rFonts w:hint="eastAsia" w:ascii="宋体" w:hAnsi="宋体" w:cs="宋体"/>
          <w:sz w:val="24"/>
          <w:lang w:val="zh-CN"/>
        </w:rPr>
      </w:pPr>
      <w:r>
        <w:rPr>
          <w:rFonts w:hint="eastAsia" w:ascii="宋体" w:hAnsi="宋体" w:cs="宋体"/>
          <w:sz w:val="24"/>
          <w:lang w:val="zh-CN"/>
        </w:rPr>
        <w:t>12.3.1</w:t>
      </w:r>
      <w:r>
        <w:rPr>
          <w:rFonts w:hint="eastAsia" w:ascii="宋体" w:hAnsi="宋体" w:cs="宋体"/>
          <w:color w:val="000000"/>
          <w:sz w:val="24"/>
        </w:rPr>
        <w:t>本次招标代理服务费由中标人承担，综合考虑总报价中，</w:t>
      </w:r>
      <w:r>
        <w:rPr>
          <w:rFonts w:hint="eastAsia" w:ascii="宋体" w:hAnsi="宋体" w:cs="宋体"/>
          <w:sz w:val="24"/>
          <w:lang w:val="zh-CN"/>
        </w:rPr>
        <w:t>不</w:t>
      </w:r>
      <w:r>
        <w:rPr>
          <w:rFonts w:hint="eastAsia" w:ascii="宋体" w:hAnsi="宋体" w:cs="宋体"/>
          <w:sz w:val="24"/>
        </w:rPr>
        <w:t>得</w:t>
      </w:r>
      <w:r>
        <w:rPr>
          <w:rFonts w:hint="eastAsia" w:ascii="宋体" w:hAnsi="宋体" w:cs="宋体"/>
          <w:sz w:val="24"/>
          <w:lang w:val="zh-CN"/>
        </w:rPr>
        <w:t>单列。</w:t>
      </w:r>
    </w:p>
    <w:p>
      <w:pPr>
        <w:pStyle w:val="254"/>
        <w:spacing w:before="0"/>
        <w:ind w:firstLine="480"/>
        <w:rPr>
          <w:rFonts w:hint="eastAsia" w:ascii="宋体" w:hAnsi="宋体" w:cs="宋体"/>
          <w:color w:val="000000"/>
          <w:szCs w:val="24"/>
        </w:rPr>
      </w:pPr>
      <w:r>
        <w:rPr>
          <w:rFonts w:hint="eastAsia" w:ascii="宋体" w:hAnsi="宋体" w:cs="宋体"/>
          <w:color w:val="000000"/>
          <w:szCs w:val="24"/>
          <w:lang w:val="zh-CN"/>
        </w:rPr>
        <w:t>12.3.2采购文件</w:t>
      </w:r>
      <w:r>
        <w:rPr>
          <w:rFonts w:hint="eastAsia" w:ascii="宋体" w:hAnsi="宋体" w:cs="宋体"/>
          <w:color w:val="000000"/>
          <w:szCs w:val="24"/>
        </w:rPr>
        <w:t>未列明，而供应商认为必需的费用也需列入报价。</w:t>
      </w:r>
    </w:p>
    <w:p>
      <w:pPr>
        <w:pStyle w:val="254"/>
        <w:spacing w:before="0"/>
        <w:ind w:firstLine="480"/>
        <w:rPr>
          <w:rFonts w:hint="eastAsia" w:ascii="宋体" w:hAnsi="宋体" w:cs="宋体"/>
          <w:color w:val="000000"/>
          <w:szCs w:val="24"/>
        </w:rPr>
      </w:pPr>
      <w:r>
        <w:rPr>
          <w:rFonts w:hint="eastAsia" w:ascii="宋体" w:hAnsi="宋体" w:cs="宋体"/>
          <w:color w:val="000000"/>
          <w:szCs w:val="24"/>
        </w:rPr>
        <w:t>12.4投标货币</w:t>
      </w:r>
    </w:p>
    <w:p>
      <w:pPr>
        <w:pStyle w:val="6"/>
        <w:ind w:firstLine="480" w:firstLineChars="200"/>
        <w:rPr>
          <w:rFonts w:hint="eastAsia" w:hAnsi="宋体" w:cs="宋体"/>
          <w:szCs w:val="24"/>
        </w:rPr>
      </w:pPr>
      <w:r>
        <w:rPr>
          <w:rFonts w:hint="eastAsia" w:hAnsi="宋体" w:cs="宋体"/>
          <w:szCs w:val="24"/>
        </w:rPr>
        <w:t>投标文件中价格全部采用人民币报价。报价应是唯一的, 采购人将不接受有选择的报价。</w:t>
      </w:r>
    </w:p>
    <w:p>
      <w:pPr>
        <w:tabs>
          <w:tab w:val="left" w:pos="3780"/>
        </w:tabs>
        <w:snapToGrid w:val="0"/>
        <w:spacing w:line="360" w:lineRule="auto"/>
        <w:jc w:val="center"/>
        <w:rPr>
          <w:rFonts w:hint="eastAsia" w:ascii="宋体" w:hAnsi="宋体" w:cs="宋体"/>
          <w:b/>
          <w:sz w:val="24"/>
        </w:rPr>
      </w:pPr>
      <w:r>
        <w:rPr>
          <w:rFonts w:hint="eastAsia" w:ascii="宋体" w:hAnsi="宋体" w:cs="宋体"/>
          <w:b/>
          <w:sz w:val="24"/>
        </w:rPr>
        <w:t>三、投标文件的编制</w:t>
      </w:r>
    </w:p>
    <w:p>
      <w:pPr>
        <w:pStyle w:val="254"/>
        <w:spacing w:before="0"/>
        <w:ind w:firstLine="0" w:firstLineChars="0"/>
        <w:rPr>
          <w:rFonts w:hint="eastAsia" w:ascii="宋体" w:hAnsi="宋体" w:cs="宋体"/>
          <w:szCs w:val="24"/>
          <w:lang w:val="zh-CN"/>
        </w:rPr>
      </w:pPr>
      <w:r>
        <w:rPr>
          <w:rFonts w:hint="eastAsia" w:ascii="宋体" w:hAnsi="宋体" w:cs="宋体"/>
          <w:b/>
          <w:color w:val="000000"/>
          <w:szCs w:val="24"/>
        </w:rPr>
        <w:t>13</w:t>
      </w:r>
      <w:r>
        <w:rPr>
          <w:rFonts w:hint="eastAsia" w:ascii="宋体" w:hAnsi="宋体" w:cs="宋体"/>
          <w:b/>
          <w:color w:val="000000"/>
          <w:kern w:val="0"/>
          <w:szCs w:val="24"/>
        </w:rPr>
        <w:t>．</w:t>
      </w:r>
      <w:r>
        <w:rPr>
          <w:rFonts w:hint="eastAsia" w:ascii="宋体" w:hAnsi="宋体" w:cs="宋体"/>
          <w:b/>
          <w:color w:val="000000"/>
          <w:szCs w:val="24"/>
        </w:rPr>
        <w:t>投标文件的语言：</w:t>
      </w:r>
      <w:r>
        <w:rPr>
          <w:rFonts w:hint="eastAsia" w:ascii="宋体" w:hAnsi="宋体" w:cs="宋体"/>
          <w:szCs w:val="24"/>
        </w:rPr>
        <w:t>投标文件及供应商与采购有关的来往通知、函件和文件均应使用中文。</w:t>
      </w:r>
    </w:p>
    <w:p>
      <w:pPr>
        <w:spacing w:line="360" w:lineRule="auto"/>
        <w:rPr>
          <w:rFonts w:hint="eastAsia" w:ascii="宋体" w:hAnsi="宋体" w:cs="宋体"/>
          <w:kern w:val="0"/>
          <w:sz w:val="24"/>
        </w:rPr>
      </w:pPr>
      <w:r>
        <w:rPr>
          <w:rFonts w:hint="eastAsia" w:ascii="宋体" w:hAnsi="宋体" w:cs="宋体"/>
          <w:b/>
          <w:sz w:val="24"/>
        </w:rPr>
        <w:t>14</w:t>
      </w:r>
      <w:r>
        <w:rPr>
          <w:rFonts w:hint="eastAsia" w:ascii="宋体" w:hAnsi="宋体" w:cs="宋体"/>
          <w:b/>
          <w:color w:val="000000"/>
          <w:kern w:val="0"/>
          <w:sz w:val="24"/>
        </w:rPr>
        <w:t>．</w:t>
      </w:r>
      <w:r>
        <w:rPr>
          <w:rFonts w:hint="eastAsia" w:ascii="宋体" w:hAnsi="宋体" w:cs="宋体"/>
          <w:b/>
          <w:sz w:val="24"/>
        </w:rPr>
        <w:t>投标文件的组成：</w:t>
      </w:r>
      <w:r>
        <w:rPr>
          <w:rFonts w:hint="eastAsia" w:ascii="宋体" w:hAnsi="宋体" w:cs="宋体"/>
          <w:kern w:val="0"/>
          <w:sz w:val="24"/>
        </w:rPr>
        <w:t>投标文件由资格文件、商务资信技术文件、报价文件三部分组成。以下列出的为投标文件的基本组成部分，请投标人参照以下要求制作投标文件，亦可根据自身情况进一步细化，但不得更改相关实质性内容。</w:t>
      </w:r>
    </w:p>
    <w:p>
      <w:pPr>
        <w:snapToGrid w:val="0"/>
        <w:spacing w:line="360" w:lineRule="auto"/>
        <w:ind w:firstLine="482" w:firstLineChars="200"/>
        <w:jc w:val="left"/>
        <w:rPr>
          <w:rFonts w:hint="eastAsia" w:ascii="宋体" w:hAnsi="宋体" w:cs="宋体"/>
          <w:sz w:val="24"/>
        </w:rPr>
      </w:pPr>
      <w:r>
        <w:rPr>
          <w:rFonts w:hint="eastAsia" w:ascii="宋体" w:hAnsi="宋体" w:cs="宋体"/>
          <w:b/>
          <w:bCs/>
          <w:sz w:val="24"/>
        </w:rPr>
        <w:t>▲14.1资格</w:t>
      </w:r>
      <w:r>
        <w:rPr>
          <w:rFonts w:hint="eastAsia" w:ascii="宋体" w:hAnsi="宋体" w:cs="宋体"/>
          <w:b/>
          <w:sz w:val="24"/>
        </w:rPr>
        <w:t>文件</w:t>
      </w:r>
      <w:r>
        <w:rPr>
          <w:rFonts w:hint="eastAsia" w:ascii="宋体" w:hAnsi="宋体" w:cs="宋体"/>
          <w:sz w:val="24"/>
        </w:rPr>
        <w:t>应包括以下内容（均需加盖公章）：证明其符合《中华人民共和国政府采购法》规定的供应商基本条件和采购文件中对供应商的特定要求的有关资格证明文件：</w:t>
      </w:r>
    </w:p>
    <w:p>
      <w:pPr>
        <w:numPr>
          <w:ilvl w:val="0"/>
          <w:numId w:val="12"/>
        </w:numPr>
        <w:autoSpaceDE w:val="0"/>
        <w:autoSpaceDN w:val="0"/>
        <w:spacing w:line="360" w:lineRule="auto"/>
        <w:ind w:right="-315" w:firstLine="480" w:firstLineChars="200"/>
        <w:rPr>
          <w:rFonts w:hint="eastAsia" w:ascii="宋体" w:hAnsi="宋体" w:cs="宋体"/>
          <w:sz w:val="24"/>
        </w:rPr>
      </w:pPr>
      <w:r>
        <w:rPr>
          <w:rFonts w:hint="eastAsia" w:ascii="宋体" w:hAnsi="宋体" w:cs="宋体"/>
          <w:sz w:val="24"/>
        </w:rPr>
        <w:t>营业执照(或事业法人登记证或其他工商等登记证明材料)复印件；</w:t>
      </w:r>
    </w:p>
    <w:p>
      <w:pPr>
        <w:numPr>
          <w:ilvl w:val="0"/>
          <w:numId w:val="12"/>
        </w:numPr>
        <w:autoSpaceDE w:val="0"/>
        <w:autoSpaceDN w:val="0"/>
        <w:spacing w:line="360" w:lineRule="auto"/>
        <w:ind w:right="-315" w:firstLine="480" w:firstLineChars="200"/>
        <w:rPr>
          <w:rFonts w:hint="eastAsia" w:ascii="宋体" w:hAnsi="宋体" w:cs="宋体"/>
          <w:sz w:val="24"/>
          <w:lang w:val="zh-CN"/>
        </w:rPr>
      </w:pPr>
      <w:r>
        <w:rPr>
          <w:rFonts w:hint="eastAsia" w:ascii="宋体" w:hAnsi="宋体" w:cs="宋体"/>
          <w:sz w:val="24"/>
          <w:lang w:val="zh-CN"/>
        </w:rPr>
        <w:t>法定代表人资格证明书，投标文件签署授权委托书（如投标文件系法定代表人签署则不需提供）以及法定代表人和代理人的身份证复印件；</w:t>
      </w:r>
    </w:p>
    <w:p>
      <w:pPr>
        <w:autoSpaceDE w:val="0"/>
        <w:autoSpaceDN w:val="0"/>
        <w:spacing w:line="360" w:lineRule="auto"/>
        <w:ind w:right="-315" w:firstLine="480" w:firstLineChars="200"/>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3</w:t>
      </w:r>
      <w:r>
        <w:rPr>
          <w:rFonts w:hint="eastAsia" w:ascii="宋体" w:hAnsi="宋体" w:cs="宋体"/>
          <w:color w:val="auto"/>
          <w:sz w:val="24"/>
        </w:rPr>
        <w:t>）</w:t>
      </w:r>
      <w:r>
        <w:rPr>
          <w:rFonts w:hint="eastAsia" w:ascii="宋体" w:hAnsi="宋体" w:cs="宋体"/>
          <w:sz w:val="24"/>
        </w:rPr>
        <w:t>依法缴纳税收和社会保障金的承诺函；（格式见第六章）</w:t>
      </w:r>
    </w:p>
    <w:p>
      <w:pPr>
        <w:autoSpaceDE w:val="0"/>
        <w:autoSpaceDN w:val="0"/>
        <w:spacing w:line="360" w:lineRule="auto"/>
        <w:ind w:right="-315" w:firstLine="480" w:firstLineChars="200"/>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4</w:t>
      </w:r>
      <w:r>
        <w:rPr>
          <w:rFonts w:hint="eastAsia" w:ascii="宋体" w:hAnsi="宋体" w:cs="宋体"/>
          <w:color w:val="auto"/>
          <w:sz w:val="24"/>
        </w:rPr>
        <w:t>）具有履行合同所必需的设备和专业技术能力的承诺函；</w:t>
      </w:r>
      <w:r>
        <w:rPr>
          <w:rFonts w:hint="eastAsia" w:ascii="宋体" w:hAnsi="宋体" w:cs="宋体"/>
          <w:sz w:val="24"/>
        </w:rPr>
        <w:t>（格式见第六章）</w:t>
      </w:r>
    </w:p>
    <w:p>
      <w:pPr>
        <w:autoSpaceDE w:val="0"/>
        <w:autoSpaceDN w:val="0"/>
        <w:spacing w:line="360" w:lineRule="auto"/>
        <w:ind w:right="-315" w:firstLine="480" w:firstLineChars="200"/>
        <w:jc w:val="left"/>
        <w:rPr>
          <w:rFonts w:hint="eastAsia" w:ascii="宋体" w:hAnsi="宋体" w:eastAsia="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5</w:t>
      </w:r>
      <w:r>
        <w:rPr>
          <w:rFonts w:hint="eastAsia" w:ascii="宋体" w:hAnsi="宋体" w:cs="宋体"/>
          <w:color w:val="auto"/>
          <w:sz w:val="24"/>
        </w:rPr>
        <w:t>）参加政府采购活动前三年内在经营活动中没有重大违法记录的声明；</w:t>
      </w:r>
      <w:r>
        <w:rPr>
          <w:rFonts w:hint="eastAsia" w:ascii="宋体" w:hAnsi="宋体" w:cs="宋体"/>
          <w:sz w:val="24"/>
        </w:rPr>
        <w:t>（格</w:t>
      </w:r>
      <w:r>
        <w:rPr>
          <w:rFonts w:hint="eastAsia" w:ascii="宋体" w:hAnsi="宋体" w:eastAsia="宋体" w:cs="宋体"/>
          <w:color w:val="auto"/>
          <w:sz w:val="24"/>
        </w:rPr>
        <w:t>式见第六章）</w:t>
      </w:r>
    </w:p>
    <w:p>
      <w:pPr>
        <w:autoSpaceDE w:val="0"/>
        <w:autoSpaceDN w:val="0"/>
        <w:spacing w:line="360" w:lineRule="auto"/>
        <w:ind w:right="-315" w:firstLine="480" w:firstLineChars="200"/>
        <w:jc w:val="left"/>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6</w:t>
      </w:r>
      <w:r>
        <w:rPr>
          <w:rFonts w:hint="eastAsia" w:ascii="宋体" w:hAnsi="宋体" w:eastAsia="宋体" w:cs="宋体"/>
          <w:color w:val="auto"/>
          <w:sz w:val="24"/>
        </w:rPr>
        <w:t>）供应商没有失信记录承诺函；（格式见第六章）</w:t>
      </w:r>
    </w:p>
    <w:p>
      <w:pPr>
        <w:pStyle w:val="254"/>
        <w:spacing w:before="0"/>
        <w:ind w:firstLine="480"/>
        <w:rPr>
          <w:rFonts w:hint="eastAsia" w:ascii="宋体" w:hAnsi="宋体" w:cs="宋体"/>
          <w:color w:val="000000"/>
          <w:kern w:val="0"/>
          <w:szCs w:val="24"/>
          <w:lang w:val="zh-CN"/>
        </w:rPr>
      </w:pPr>
      <w:r>
        <w:rPr>
          <w:rFonts w:hint="eastAsia" w:ascii="宋体" w:hAnsi="宋体" w:cs="宋体"/>
          <w:color w:val="000000"/>
          <w:kern w:val="0"/>
          <w:szCs w:val="24"/>
          <w:lang w:val="zh-CN"/>
        </w:rPr>
        <w:t>14.</w:t>
      </w:r>
      <w:r>
        <w:rPr>
          <w:rFonts w:hint="eastAsia" w:ascii="宋体" w:hAnsi="宋体" w:cs="宋体"/>
          <w:color w:val="000000"/>
          <w:kern w:val="0"/>
          <w:szCs w:val="24"/>
        </w:rPr>
        <w:t>2</w:t>
      </w:r>
      <w:r>
        <w:rPr>
          <w:rFonts w:hint="eastAsia" w:ascii="宋体" w:hAnsi="宋体" w:cs="宋体"/>
          <w:color w:val="000000"/>
          <w:kern w:val="0"/>
          <w:szCs w:val="24"/>
          <w:lang w:val="zh-CN"/>
        </w:rPr>
        <w:t>供应商的</w:t>
      </w:r>
      <w:r>
        <w:rPr>
          <w:rFonts w:hint="eastAsia" w:ascii="宋体" w:hAnsi="宋体" w:cs="宋体"/>
          <w:b/>
          <w:bCs/>
          <w:color w:val="000000"/>
          <w:kern w:val="0"/>
          <w:szCs w:val="24"/>
          <w:lang w:val="zh-CN"/>
        </w:rPr>
        <w:t>商务</w:t>
      </w:r>
      <w:r>
        <w:rPr>
          <w:rFonts w:hint="eastAsia" w:ascii="宋体" w:hAnsi="宋体" w:cs="宋体"/>
          <w:b/>
          <w:bCs/>
          <w:color w:val="000000"/>
          <w:kern w:val="0"/>
          <w:szCs w:val="24"/>
        </w:rPr>
        <w:t>资信</w:t>
      </w:r>
      <w:r>
        <w:rPr>
          <w:rFonts w:hint="eastAsia" w:ascii="宋体" w:hAnsi="宋体" w:cs="宋体"/>
          <w:b/>
          <w:bCs/>
          <w:color w:val="000000"/>
          <w:kern w:val="0"/>
          <w:szCs w:val="24"/>
          <w:lang w:val="zh-CN"/>
        </w:rPr>
        <w:t>技术文件</w:t>
      </w:r>
      <w:r>
        <w:rPr>
          <w:rFonts w:hint="eastAsia" w:ascii="宋体" w:hAnsi="宋体" w:cs="宋体"/>
          <w:szCs w:val="24"/>
          <w:lang w:val="zh-CN"/>
        </w:rPr>
        <w:t>包括但不限于以下内容</w:t>
      </w:r>
      <w:r>
        <w:rPr>
          <w:rFonts w:hint="eastAsia" w:ascii="宋体" w:hAnsi="宋体" w:cs="宋体"/>
          <w:color w:val="000000"/>
          <w:kern w:val="0"/>
          <w:szCs w:val="24"/>
          <w:lang w:val="zh-CN"/>
        </w:rPr>
        <w:t>：</w:t>
      </w:r>
    </w:p>
    <w:p>
      <w:pPr>
        <w:pStyle w:val="254"/>
        <w:spacing w:before="0"/>
        <w:ind w:firstLine="0" w:firstLineChars="0"/>
        <w:rPr>
          <w:rFonts w:hint="eastAsia" w:ascii="宋体" w:hAnsi="宋体" w:cs="宋体"/>
          <w:b/>
          <w:color w:val="000000"/>
          <w:kern w:val="0"/>
          <w:szCs w:val="24"/>
          <w:highlight w:val="none"/>
          <w:lang w:val="zh-CN"/>
        </w:rPr>
      </w:pPr>
      <w:r>
        <w:rPr>
          <w:rFonts w:hint="eastAsia" w:ascii="宋体" w:hAnsi="宋体" w:cs="宋体"/>
          <w:b/>
          <w:color w:val="000000"/>
          <w:kern w:val="0"/>
          <w:szCs w:val="24"/>
          <w:highlight w:val="none"/>
          <w:lang w:val="zh-CN"/>
        </w:rPr>
        <w:t>技术文件：</w:t>
      </w:r>
    </w:p>
    <w:p>
      <w:pPr>
        <w:pStyle w:val="254"/>
        <w:spacing w:before="0"/>
        <w:ind w:firstLine="480"/>
        <w:rPr>
          <w:rFonts w:hint="eastAsia" w:ascii="宋体" w:hAnsi="宋体" w:cs="宋体"/>
          <w:b/>
          <w:bCs/>
          <w:color w:val="000000"/>
          <w:kern w:val="0"/>
          <w:szCs w:val="24"/>
          <w:highlight w:val="none"/>
          <w:lang w:val="en-US" w:eastAsia="zh-CN"/>
        </w:rPr>
      </w:pPr>
      <w:r>
        <w:rPr>
          <w:rFonts w:hint="eastAsia" w:ascii="宋体" w:hAnsi="宋体" w:cs="宋体"/>
          <w:color w:val="000000"/>
          <w:kern w:val="0"/>
          <w:szCs w:val="24"/>
          <w:highlight w:val="none"/>
          <w:lang w:val="zh-CN"/>
        </w:rPr>
        <w:t>（1）对“招标文件第二部分采购需求”满足程度：商务技术偏离表；</w:t>
      </w:r>
    </w:p>
    <w:p>
      <w:pPr>
        <w:pStyle w:val="254"/>
        <w:spacing w:before="0"/>
        <w:ind w:firstLine="480"/>
        <w:rPr>
          <w:rFonts w:hint="default" w:ascii="宋体" w:hAnsi="宋体" w:cs="宋体"/>
          <w:b/>
          <w:bCs/>
          <w:color w:val="000000"/>
          <w:kern w:val="0"/>
          <w:szCs w:val="24"/>
          <w:highlight w:val="none"/>
          <w:lang w:val="en-US"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w:t>
      </w:r>
      <w:r>
        <w:rPr>
          <w:rFonts w:hint="eastAsia" w:ascii="宋体" w:hAnsi="宋体" w:eastAsia="宋体" w:cs="宋体"/>
          <w:sz w:val="24"/>
        </w:rPr>
        <w:t>货物（设备）配置清单表</w:t>
      </w:r>
      <w:r>
        <w:rPr>
          <w:rFonts w:hint="eastAsia" w:ascii="宋体" w:hAnsi="宋体" w:eastAsia="宋体" w:cs="宋体"/>
          <w:sz w:val="24"/>
          <w:lang w:eastAsia="zh-CN"/>
        </w:rPr>
        <w:t>（</w:t>
      </w:r>
      <w:r>
        <w:rPr>
          <w:rFonts w:hint="eastAsia" w:ascii="宋体" w:hAnsi="宋体" w:eastAsia="宋体" w:cs="宋体"/>
          <w:sz w:val="24"/>
          <w:lang w:val="en-US" w:eastAsia="zh-CN"/>
        </w:rPr>
        <w:t>相关主要材料与设备应提供此表</w:t>
      </w:r>
      <w:r>
        <w:rPr>
          <w:rFonts w:hint="eastAsia" w:ascii="宋体" w:hAnsi="宋体" w:eastAsia="宋体" w:cs="宋体"/>
          <w:sz w:val="24"/>
          <w:lang w:eastAsia="zh-CN"/>
        </w:rPr>
        <w:t>）；</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3</w:t>
      </w:r>
      <w:r>
        <w:rPr>
          <w:rFonts w:hint="eastAsia" w:ascii="宋体" w:hAnsi="宋体" w:eastAsia="宋体" w:cs="宋体"/>
          <w:color w:val="000000"/>
          <w:kern w:val="0"/>
          <w:szCs w:val="24"/>
          <w:highlight w:val="none"/>
          <w:lang w:val="zh-CN"/>
        </w:rPr>
        <w:t>）</w:t>
      </w:r>
      <w:r>
        <w:rPr>
          <w:rFonts w:hint="eastAsia" w:ascii="宋体" w:hAnsi="宋体" w:eastAsia="宋体" w:cs="宋体"/>
          <w:bCs/>
          <w:sz w:val="24"/>
        </w:rPr>
        <w:t>项目实施方案</w:t>
      </w:r>
      <w:r>
        <w:rPr>
          <w:rFonts w:hint="eastAsia" w:ascii="宋体" w:hAnsi="宋体" w:eastAsia="宋体" w:cs="宋体"/>
          <w:color w:val="000000"/>
          <w:kern w:val="0"/>
          <w:szCs w:val="24"/>
          <w:highlight w:val="none"/>
          <w:lang w:val="zh-CN"/>
        </w:rPr>
        <w:t>；</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4</w:t>
      </w:r>
      <w:r>
        <w:rPr>
          <w:rFonts w:hint="eastAsia" w:ascii="宋体" w:hAnsi="宋体" w:eastAsia="宋体" w:cs="宋体"/>
          <w:color w:val="000000"/>
          <w:kern w:val="0"/>
          <w:szCs w:val="24"/>
          <w:highlight w:val="none"/>
          <w:lang w:val="zh-CN"/>
        </w:rPr>
        <w:t>）</w:t>
      </w:r>
      <w:r>
        <w:rPr>
          <w:rFonts w:hint="eastAsia" w:ascii="宋体" w:hAnsi="宋体" w:eastAsia="宋体" w:cs="宋体"/>
          <w:bCs/>
          <w:sz w:val="24"/>
          <w:lang w:val="en-US" w:eastAsia="zh-CN"/>
        </w:rPr>
        <w:t>装饰布置</w:t>
      </w:r>
      <w:r>
        <w:rPr>
          <w:rFonts w:hint="eastAsia" w:ascii="宋体" w:hAnsi="宋体" w:eastAsia="宋体" w:cs="宋体"/>
          <w:bCs/>
          <w:sz w:val="24"/>
        </w:rPr>
        <w:t>设计</w:t>
      </w:r>
      <w:r>
        <w:rPr>
          <w:rFonts w:hint="eastAsia" w:ascii="宋体" w:hAnsi="宋体" w:eastAsia="宋体" w:cs="宋体"/>
          <w:bCs/>
          <w:sz w:val="24"/>
          <w:lang w:val="en-US" w:eastAsia="zh-CN"/>
        </w:rPr>
        <w:t>方案</w:t>
      </w:r>
      <w:r>
        <w:rPr>
          <w:rFonts w:hint="eastAsia" w:ascii="宋体" w:hAnsi="宋体" w:eastAsia="宋体" w:cs="宋体"/>
          <w:color w:val="000000"/>
          <w:kern w:val="0"/>
          <w:szCs w:val="24"/>
          <w:highlight w:val="none"/>
          <w:lang w:val="zh-CN"/>
        </w:rPr>
        <w:t>；</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5</w:t>
      </w:r>
      <w:r>
        <w:rPr>
          <w:rFonts w:hint="eastAsia" w:ascii="宋体" w:hAnsi="宋体" w:eastAsia="宋体" w:cs="宋体"/>
          <w:color w:val="000000"/>
          <w:kern w:val="0"/>
          <w:szCs w:val="24"/>
          <w:highlight w:val="none"/>
          <w:lang w:val="zh-CN"/>
        </w:rPr>
        <w:t>）功能展示</w:t>
      </w:r>
      <w:r>
        <w:rPr>
          <w:rFonts w:hint="eastAsia" w:ascii="宋体" w:hAnsi="宋体" w:eastAsia="宋体" w:cs="宋体"/>
          <w:color w:val="000000"/>
          <w:kern w:val="0"/>
          <w:szCs w:val="24"/>
          <w:highlight w:val="none"/>
          <w:lang w:val="en-US" w:eastAsia="zh-CN"/>
        </w:rPr>
        <w:t>相关说明材料（功能展示视频文件按招标文件中要求提供）</w:t>
      </w:r>
      <w:r>
        <w:rPr>
          <w:rFonts w:hint="eastAsia" w:ascii="宋体" w:hAnsi="宋体" w:eastAsia="宋体" w:cs="宋体"/>
          <w:color w:val="000000"/>
          <w:kern w:val="0"/>
          <w:szCs w:val="24"/>
          <w:highlight w:val="none"/>
          <w:lang w:val="zh-CN"/>
        </w:rPr>
        <w:t>；</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6</w:t>
      </w:r>
      <w:r>
        <w:rPr>
          <w:rFonts w:hint="eastAsia" w:ascii="宋体" w:hAnsi="宋体" w:eastAsia="宋体" w:cs="宋体"/>
          <w:color w:val="000000"/>
          <w:kern w:val="0"/>
          <w:szCs w:val="24"/>
          <w:highlight w:val="none"/>
          <w:lang w:val="zh-CN"/>
        </w:rPr>
        <w:t>）供应商认为需要的其他技术文件或说明。</w:t>
      </w:r>
    </w:p>
    <w:p>
      <w:pPr>
        <w:pStyle w:val="254"/>
        <w:spacing w:before="0"/>
        <w:ind w:firstLine="0" w:firstLineChars="0"/>
        <w:rPr>
          <w:rFonts w:hint="eastAsia" w:ascii="宋体" w:hAnsi="宋体" w:cs="宋体"/>
          <w:color w:val="000000"/>
          <w:kern w:val="0"/>
          <w:szCs w:val="24"/>
          <w:highlight w:val="none"/>
          <w:lang w:val="zh-CN"/>
        </w:rPr>
      </w:pPr>
      <w:r>
        <w:rPr>
          <w:rFonts w:hint="eastAsia" w:ascii="宋体" w:hAnsi="宋体" w:cs="宋体"/>
          <w:b/>
          <w:color w:val="000000"/>
          <w:kern w:val="0"/>
          <w:szCs w:val="24"/>
          <w:highlight w:val="none"/>
          <w:lang w:val="zh-CN"/>
        </w:rPr>
        <w:t>商务</w:t>
      </w:r>
      <w:r>
        <w:rPr>
          <w:rFonts w:hint="eastAsia" w:ascii="宋体" w:hAnsi="宋体" w:cs="宋体"/>
          <w:b/>
          <w:color w:val="000000"/>
          <w:kern w:val="0"/>
          <w:szCs w:val="24"/>
          <w:highlight w:val="none"/>
        </w:rPr>
        <w:t>资信</w:t>
      </w:r>
      <w:r>
        <w:rPr>
          <w:rFonts w:hint="eastAsia" w:ascii="宋体" w:hAnsi="宋体" w:cs="宋体"/>
          <w:b/>
          <w:color w:val="000000"/>
          <w:kern w:val="0"/>
          <w:szCs w:val="24"/>
          <w:highlight w:val="none"/>
          <w:lang w:val="zh-CN"/>
        </w:rPr>
        <w:t>文件</w:t>
      </w:r>
      <w:r>
        <w:rPr>
          <w:rFonts w:hint="eastAsia" w:ascii="宋体" w:hAnsi="宋体" w:cs="宋体"/>
          <w:color w:val="000000"/>
          <w:kern w:val="0"/>
          <w:szCs w:val="24"/>
          <w:highlight w:val="none"/>
          <w:lang w:val="zh-CN"/>
        </w:rPr>
        <w:t>：</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1</w:t>
      </w:r>
      <w:r>
        <w:rPr>
          <w:rFonts w:hint="eastAsia" w:ascii="宋体" w:hAnsi="宋体" w:eastAsia="宋体" w:cs="宋体"/>
          <w:color w:val="000000"/>
          <w:kern w:val="0"/>
          <w:szCs w:val="24"/>
          <w:highlight w:val="none"/>
          <w:lang w:val="zh-CN"/>
        </w:rPr>
        <w:t>)投标声明书；</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2</w:t>
      </w:r>
      <w:r>
        <w:rPr>
          <w:rFonts w:hint="eastAsia" w:ascii="宋体" w:hAnsi="宋体" w:eastAsia="宋体" w:cs="宋体"/>
          <w:color w:val="000000"/>
          <w:kern w:val="0"/>
          <w:szCs w:val="24"/>
          <w:highlight w:val="none"/>
          <w:lang w:val="zh-CN"/>
        </w:rPr>
        <w:t>）售后服务方案；</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3</w:t>
      </w:r>
      <w:r>
        <w:rPr>
          <w:rFonts w:hint="eastAsia" w:ascii="宋体" w:hAnsi="宋体" w:eastAsia="宋体" w:cs="宋体"/>
          <w:color w:val="000000"/>
          <w:kern w:val="0"/>
          <w:szCs w:val="24"/>
          <w:highlight w:val="none"/>
          <w:lang w:val="zh-CN"/>
        </w:rPr>
        <w:t>）本地化服务；</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4</w:t>
      </w:r>
      <w:r>
        <w:rPr>
          <w:rFonts w:hint="eastAsia" w:ascii="宋体" w:hAnsi="宋体" w:eastAsia="宋体" w:cs="宋体"/>
          <w:color w:val="000000"/>
          <w:kern w:val="0"/>
          <w:szCs w:val="24"/>
          <w:highlight w:val="none"/>
          <w:lang w:val="zh-CN"/>
        </w:rPr>
        <w:t>）</w:t>
      </w:r>
      <w:r>
        <w:rPr>
          <w:rFonts w:hint="eastAsia" w:cs="宋体"/>
          <w:bCs/>
        </w:rPr>
        <w:t>检测报告</w:t>
      </w:r>
      <w:r>
        <w:rPr>
          <w:rFonts w:hint="eastAsia" w:ascii="宋体" w:hAnsi="宋体" w:eastAsia="宋体" w:cs="宋体"/>
          <w:color w:val="000000"/>
          <w:kern w:val="0"/>
          <w:szCs w:val="24"/>
          <w:highlight w:val="none"/>
          <w:lang w:val="zh-CN"/>
        </w:rPr>
        <w:t>；</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5</w:t>
      </w: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企业业绩</w:t>
      </w:r>
      <w:r>
        <w:rPr>
          <w:rFonts w:hint="eastAsia" w:ascii="宋体" w:hAnsi="宋体" w:eastAsia="宋体" w:cs="宋体"/>
          <w:color w:val="000000"/>
          <w:kern w:val="0"/>
          <w:szCs w:val="24"/>
          <w:highlight w:val="none"/>
          <w:lang w:val="zh-CN"/>
        </w:rPr>
        <w:t>；</w:t>
      </w:r>
    </w:p>
    <w:p>
      <w:pPr>
        <w:pStyle w:val="254"/>
        <w:spacing w:before="0"/>
        <w:ind w:firstLine="480"/>
        <w:rPr>
          <w:rFonts w:hint="default" w:ascii="宋体" w:hAnsi="宋体" w:eastAsia="宋体" w:cs="宋体"/>
          <w:color w:val="000000"/>
          <w:kern w:val="0"/>
          <w:szCs w:val="24"/>
          <w:highlight w:val="none"/>
          <w:lang w:val="en-US" w:eastAsia="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6</w:t>
      </w: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权威认证；</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7</w:t>
      </w: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节能环保产品证明材料；</w:t>
      </w:r>
    </w:p>
    <w:p>
      <w:pPr>
        <w:pStyle w:val="254"/>
        <w:spacing w:before="0"/>
        <w:ind w:firstLine="480"/>
        <w:rPr>
          <w:rFonts w:hint="eastAsia" w:ascii="宋体" w:hAnsi="宋体" w:eastAsia="宋体" w:cs="宋体"/>
          <w:color w:val="000000"/>
          <w:kern w:val="0"/>
          <w:szCs w:val="24"/>
          <w:highlight w:val="none"/>
          <w:lang w:val="zh-CN"/>
        </w:rPr>
      </w:pPr>
      <w:r>
        <w:rPr>
          <w:rFonts w:hint="eastAsia" w:ascii="宋体" w:hAnsi="宋体" w:eastAsia="宋体" w:cs="宋体"/>
          <w:color w:val="000000"/>
          <w:kern w:val="0"/>
          <w:szCs w:val="24"/>
          <w:highlight w:val="none"/>
          <w:lang w:val="zh-CN"/>
        </w:rPr>
        <w:t>（</w:t>
      </w:r>
      <w:r>
        <w:rPr>
          <w:rFonts w:hint="eastAsia" w:ascii="宋体" w:hAnsi="宋体" w:eastAsia="宋体" w:cs="宋体"/>
          <w:color w:val="000000"/>
          <w:kern w:val="0"/>
          <w:szCs w:val="24"/>
          <w:highlight w:val="none"/>
          <w:lang w:val="en-US" w:eastAsia="zh-CN"/>
        </w:rPr>
        <w:t>8</w:t>
      </w:r>
      <w:r>
        <w:rPr>
          <w:rFonts w:hint="eastAsia" w:ascii="宋体" w:hAnsi="宋体" w:eastAsia="宋体" w:cs="宋体"/>
          <w:color w:val="000000"/>
          <w:kern w:val="0"/>
          <w:szCs w:val="24"/>
          <w:highlight w:val="none"/>
          <w:lang w:val="zh-CN"/>
        </w:rPr>
        <w:t>）供应商认为需要的其他商务资信文件或说明（如有）。</w:t>
      </w:r>
    </w:p>
    <w:p>
      <w:pPr>
        <w:snapToGrid w:val="0"/>
        <w:spacing w:line="360" w:lineRule="auto"/>
        <w:ind w:firstLine="480" w:firstLineChars="200"/>
        <w:rPr>
          <w:rFonts w:hint="eastAsia" w:ascii="宋体" w:hAnsi="宋体" w:cs="宋体"/>
          <w:sz w:val="24"/>
          <w:highlight w:val="none"/>
          <w:u w:val="single"/>
          <w:lang w:val="zh-CN"/>
        </w:rPr>
      </w:pPr>
      <w:r>
        <w:rPr>
          <w:rFonts w:hint="eastAsia" w:ascii="宋体" w:hAnsi="宋体" w:cs="宋体"/>
          <w:kern w:val="0"/>
          <w:sz w:val="24"/>
          <w:highlight w:val="none"/>
          <w:lang w:val="zh-CN"/>
        </w:rPr>
        <w:t>14.</w:t>
      </w:r>
      <w:r>
        <w:rPr>
          <w:rFonts w:hint="eastAsia" w:ascii="宋体" w:hAnsi="宋体" w:cs="宋体"/>
          <w:kern w:val="0"/>
          <w:sz w:val="24"/>
          <w:highlight w:val="none"/>
        </w:rPr>
        <w:t>3</w:t>
      </w:r>
      <w:r>
        <w:rPr>
          <w:rFonts w:hint="eastAsia" w:ascii="宋体" w:hAnsi="宋体" w:cs="宋体"/>
          <w:sz w:val="24"/>
          <w:highlight w:val="none"/>
          <w:lang w:val="zh-CN"/>
        </w:rPr>
        <w:t>供应商的</w:t>
      </w:r>
      <w:r>
        <w:rPr>
          <w:rFonts w:hint="eastAsia" w:ascii="宋体" w:hAnsi="宋体" w:cs="宋体"/>
          <w:b/>
          <w:kern w:val="0"/>
          <w:sz w:val="24"/>
          <w:highlight w:val="none"/>
        </w:rPr>
        <w:t>报价文件</w:t>
      </w:r>
      <w:r>
        <w:rPr>
          <w:rFonts w:hint="eastAsia" w:ascii="宋体" w:hAnsi="宋体" w:cs="宋体"/>
          <w:sz w:val="24"/>
          <w:highlight w:val="none"/>
          <w:lang w:val="zh-CN"/>
        </w:rPr>
        <w:t>包括但不限于以下内容：</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kern w:val="0"/>
          <w:sz w:val="24"/>
          <w:highlight w:val="none"/>
        </w:rPr>
        <w:t>投标函；</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（2）投标（开标）一览表；</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（3）投标报价明细清单（根据采购文件第二部分采购需求填写）；</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（4）中小企业或其他声明函（如有）；</w:t>
      </w:r>
    </w:p>
    <w:p>
      <w:pPr>
        <w:pStyle w:val="23"/>
        <w:spacing w:line="360" w:lineRule="auto"/>
        <w:rPr>
          <w:rFonts w:hint="eastAsia" w:ascii="Arial" w:hAnsi="Arial" w:eastAsia="黑体" w:cs="Arial"/>
          <w:snapToGrid w:val="0"/>
          <w:kern w:val="0"/>
          <w:szCs w:val="21"/>
          <w:highlight w:val="none"/>
        </w:rPr>
      </w:pPr>
      <w:r>
        <w:rPr>
          <w:rFonts w:hint="eastAsia" w:cs="宋体"/>
          <w:kern w:val="0"/>
          <w:highlight w:val="none"/>
        </w:rPr>
        <w:t>（5）</w:t>
      </w:r>
      <w:r>
        <w:rPr>
          <w:rFonts w:hint="eastAsia" w:cs="宋体"/>
          <w:bCs/>
          <w:highlight w:val="none"/>
        </w:rPr>
        <w:t>中标服务费支付承诺书；</w:t>
      </w:r>
    </w:p>
    <w:p>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（6）供应商针对报价需要说明的其他文件和说明（</w:t>
      </w:r>
      <w:r>
        <w:rPr>
          <w:rFonts w:hint="eastAsia" w:ascii="宋体" w:hAnsi="宋体" w:cs="宋体"/>
          <w:kern w:val="0"/>
          <w:sz w:val="24"/>
          <w:highlight w:val="none"/>
        </w:rPr>
        <w:t>如有</w:t>
      </w:r>
      <w:r>
        <w:rPr>
          <w:rFonts w:hint="eastAsia" w:ascii="宋体" w:hAnsi="宋体" w:cs="宋体"/>
          <w:sz w:val="24"/>
          <w:highlight w:val="none"/>
        </w:rPr>
        <w:t>格式自拟）。</w:t>
      </w:r>
    </w:p>
    <w:p>
      <w:pPr>
        <w:autoSpaceDE w:val="0"/>
        <w:autoSpaceDN w:val="0"/>
        <w:spacing w:line="360" w:lineRule="auto"/>
        <w:ind w:firstLine="482" w:firstLineChars="200"/>
        <w:rPr>
          <w:rFonts w:hint="eastAsia" w:ascii="宋体" w:hAnsi="宋体" w:cs="宋体"/>
          <w:sz w:val="24"/>
          <w:lang w:val="zh-CN"/>
        </w:rPr>
      </w:pPr>
      <w:r>
        <w:rPr>
          <w:rFonts w:hint="eastAsia" w:ascii="宋体" w:hAnsi="宋体" w:cs="宋体"/>
          <w:b/>
          <w:bCs/>
          <w:sz w:val="24"/>
          <w:lang w:val="zh-CN"/>
        </w:rPr>
        <w:t>供应商提供以上资料复印件（加盖单位公章）。供应商应保证以上资料真实有效，如发现弄虚作假，将取消投标资格</w:t>
      </w:r>
      <w:r>
        <w:rPr>
          <w:rFonts w:hint="eastAsia" w:ascii="宋体" w:hAnsi="宋体" w:cs="宋体"/>
          <w:b/>
          <w:bCs/>
          <w:sz w:val="24"/>
        </w:rPr>
        <w:t>并上报同级财政监督部门</w:t>
      </w:r>
      <w:r>
        <w:rPr>
          <w:rFonts w:hint="eastAsia" w:ascii="宋体" w:hAnsi="宋体" w:cs="宋体"/>
          <w:b/>
          <w:bCs/>
          <w:sz w:val="24"/>
          <w:lang w:val="zh-CN"/>
        </w:rPr>
        <w:t>。</w:t>
      </w:r>
    </w:p>
    <w:p>
      <w:pPr>
        <w:pStyle w:val="254"/>
        <w:spacing w:before="0"/>
        <w:ind w:firstLine="0" w:firstLineChars="0"/>
        <w:rPr>
          <w:rFonts w:hint="eastAsia" w:ascii="宋体" w:hAnsi="宋体" w:cs="宋体"/>
          <w:color w:val="000000"/>
          <w:szCs w:val="24"/>
        </w:rPr>
      </w:pPr>
      <w:r>
        <w:rPr>
          <w:rFonts w:hint="eastAsia" w:ascii="宋体" w:hAnsi="宋体" w:cs="宋体"/>
          <w:b/>
          <w:color w:val="000000"/>
          <w:szCs w:val="24"/>
        </w:rPr>
        <w:t>15</w:t>
      </w:r>
      <w:r>
        <w:rPr>
          <w:rFonts w:hint="eastAsia" w:ascii="宋体" w:hAnsi="宋体" w:cs="宋体"/>
          <w:b/>
          <w:color w:val="000000"/>
          <w:kern w:val="0"/>
          <w:szCs w:val="24"/>
        </w:rPr>
        <w:t>．</w:t>
      </w:r>
      <w:r>
        <w:rPr>
          <w:rFonts w:hint="eastAsia" w:ascii="宋体" w:hAnsi="宋体" w:cs="宋体"/>
          <w:b/>
          <w:color w:val="000000"/>
          <w:szCs w:val="24"/>
        </w:rPr>
        <w:t>投标保证金：</w:t>
      </w:r>
      <w:r>
        <w:rPr>
          <w:rFonts w:hint="eastAsia" w:ascii="宋体" w:hAnsi="宋体" w:cs="宋体"/>
          <w:color w:val="000000"/>
          <w:szCs w:val="24"/>
        </w:rPr>
        <w:t>无。</w:t>
      </w:r>
    </w:p>
    <w:p>
      <w:pPr>
        <w:spacing w:line="360" w:lineRule="auto"/>
        <w:rPr>
          <w:rFonts w:hint="eastAsia" w:ascii="宋体" w:hAnsi="宋体" w:cs="宋体"/>
          <w:b/>
          <w:sz w:val="24"/>
        </w:rPr>
      </w:pPr>
      <w:r>
        <w:rPr>
          <w:rFonts w:hint="eastAsia" w:ascii="宋体" w:hAnsi="宋体" w:cs="宋体"/>
          <w:b/>
          <w:sz w:val="24"/>
        </w:rPr>
        <w:t>16</w:t>
      </w:r>
      <w:r>
        <w:rPr>
          <w:rFonts w:hint="eastAsia" w:ascii="宋体" w:hAnsi="宋体" w:cs="宋体"/>
          <w:b/>
          <w:color w:val="000000"/>
          <w:kern w:val="0"/>
          <w:sz w:val="24"/>
        </w:rPr>
        <w:t>．</w:t>
      </w:r>
      <w:r>
        <w:rPr>
          <w:rFonts w:hint="eastAsia" w:ascii="宋体" w:hAnsi="宋体" w:cs="宋体"/>
          <w:b/>
          <w:sz w:val="24"/>
        </w:rPr>
        <w:t>投标文件编制</w:t>
      </w:r>
    </w:p>
    <w:p>
      <w:pPr>
        <w:spacing w:line="360" w:lineRule="auto"/>
        <w:ind w:firstLine="480" w:firstLineChars="200"/>
        <w:rPr>
          <w:rFonts w:hint="eastAsia" w:ascii="宋体" w:hAnsi="宋体" w:cs="宋体"/>
          <w:sz w:val="24"/>
        </w:rPr>
      </w:pPr>
      <w:r>
        <w:rPr>
          <w:rFonts w:hint="eastAsia" w:ascii="宋体" w:hAnsi="宋体" w:cs="宋体"/>
          <w:kern w:val="0"/>
          <w:sz w:val="24"/>
        </w:rPr>
        <w:t>16.1</w:t>
      </w:r>
      <w:r>
        <w:rPr>
          <w:rFonts w:hint="eastAsia" w:ascii="宋体" w:hAnsi="宋体" w:cs="宋体"/>
          <w:sz w:val="24"/>
        </w:rPr>
        <w:t>本项目通过“政府采购云平台（www.zcygov.cn）”实行在线投标响应（电子投标）。供应商应通过“政采云电子交易客户端”，并按照本采购文件和“政府采购云平台”的要求编制并加密投标文件。</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16.2供应商应当按照本章节“投标文件组成”规定的内容及顺序在“政采云电子交易客户端”编制投标文件。其中《资格文件》和《商务资信技术文件》中不得出现本项目投标报价，如因供应商原因提前泄露投标报价，是供应商的责任。</w:t>
      </w:r>
    </w:p>
    <w:p>
      <w:pPr>
        <w:spacing w:line="360" w:lineRule="auto"/>
        <w:ind w:firstLine="480" w:firstLineChars="200"/>
        <w:rPr>
          <w:rFonts w:hint="eastAsia" w:ascii="宋体" w:hAnsi="宋体" w:cs="宋体"/>
          <w:sz w:val="24"/>
        </w:rPr>
      </w:pPr>
      <w:r>
        <w:rPr>
          <w:rFonts w:hint="eastAsia" w:ascii="宋体" w:hAnsi="宋体" w:cs="宋体"/>
          <w:sz w:val="24"/>
        </w:rPr>
        <w:t>16.3本采购文件中有提供格式的，供应商须参照格式进行编制（格式中要求提供相关证明材料的还需后附相关证明材料），并按格式要求在指定位置根据要求进行签章，未提供格式的，请各供应商自行拟定格式，并加盖单位公章并由法定代表人或其授权代表签署（签字或盖章），否则视为未提供。</w:t>
      </w:r>
    </w:p>
    <w:p>
      <w:pPr>
        <w:spacing w:line="360" w:lineRule="auto"/>
        <w:ind w:firstLine="482" w:firstLineChars="200"/>
        <w:rPr>
          <w:rFonts w:hint="eastAsia" w:ascii="宋体" w:hAnsi="宋体" w:cs="宋体"/>
          <w:b/>
          <w:bCs/>
          <w:sz w:val="24"/>
        </w:rPr>
      </w:pPr>
      <w:r>
        <w:rPr>
          <w:rFonts w:hint="eastAsia" w:ascii="宋体" w:hAnsi="宋体" w:cs="宋体"/>
          <w:b/>
          <w:bCs/>
          <w:sz w:val="24"/>
        </w:rPr>
        <w:t>16.4《投标文件》内容不完整、编排混乱导致《投标文件》被误读、漏读或者查找不到相关内容的，是供应商的责任。</w:t>
      </w:r>
    </w:p>
    <w:p>
      <w:pPr>
        <w:spacing w:line="360" w:lineRule="auto"/>
        <w:ind w:firstLine="480" w:firstLineChars="200"/>
        <w:rPr>
          <w:rFonts w:hint="eastAsia" w:ascii="宋体" w:hAnsi="宋体" w:cs="宋体"/>
          <w:sz w:val="24"/>
        </w:rPr>
      </w:pPr>
      <w:r>
        <w:rPr>
          <w:rFonts w:hint="eastAsia" w:ascii="宋体" w:hAnsi="宋体" w:cs="宋体"/>
          <w:sz w:val="24"/>
        </w:rPr>
        <w:t>16.5《投标文件》因字迹潦草或表达不清所引起的后果由供应商负责。</w:t>
      </w:r>
    </w:p>
    <w:p>
      <w:pPr>
        <w:tabs>
          <w:tab w:val="left" w:pos="3780"/>
        </w:tabs>
        <w:snapToGrid w:val="0"/>
        <w:spacing w:line="360" w:lineRule="auto"/>
        <w:ind w:firstLine="480" w:firstLineChars="200"/>
        <w:jc w:val="left"/>
        <w:rPr>
          <w:rFonts w:hint="eastAsia" w:ascii="宋体" w:hAnsi="宋体" w:cs="宋体"/>
          <w:b/>
          <w:sz w:val="24"/>
        </w:rPr>
      </w:pPr>
      <w:r>
        <w:rPr>
          <w:rFonts w:hint="eastAsia" w:ascii="宋体" w:hAnsi="宋体" w:cs="宋体"/>
          <w:bCs/>
          <w:sz w:val="24"/>
        </w:rPr>
        <w:t>16.6供应商没有按照本采购文件中“投标文件组成”要求提供全部资料，或者没有仔细阅读采购文件，或者没有对采购文件在各方面的要求作出实质性响应是供应商的风险，由此造成的一切后果由供应商自行承担。</w:t>
      </w:r>
    </w:p>
    <w:p>
      <w:pPr>
        <w:tabs>
          <w:tab w:val="left" w:pos="3780"/>
        </w:tabs>
        <w:snapToGrid w:val="0"/>
        <w:spacing w:line="360" w:lineRule="auto"/>
        <w:jc w:val="left"/>
        <w:rPr>
          <w:rFonts w:hint="eastAsia" w:ascii="宋体" w:hAnsi="宋体" w:cs="宋体"/>
          <w:b/>
          <w:sz w:val="24"/>
        </w:rPr>
      </w:pPr>
      <w:r>
        <w:rPr>
          <w:rFonts w:hint="eastAsia" w:ascii="宋体" w:hAnsi="宋体" w:cs="宋体"/>
          <w:b/>
          <w:sz w:val="24"/>
        </w:rPr>
        <w:t>17</w:t>
      </w:r>
      <w:r>
        <w:rPr>
          <w:rFonts w:hint="eastAsia" w:ascii="宋体" w:hAnsi="宋体" w:cs="宋体"/>
          <w:b/>
          <w:color w:val="000000"/>
          <w:kern w:val="0"/>
          <w:sz w:val="24"/>
        </w:rPr>
        <w:t>．</w:t>
      </w:r>
      <w:r>
        <w:rPr>
          <w:rFonts w:hint="eastAsia" w:ascii="宋体" w:hAnsi="宋体" w:cs="宋体"/>
          <w:b/>
          <w:sz w:val="24"/>
        </w:rPr>
        <w:t>投标文件的签章</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17.1《投标文件》的签章：使用电子签章；</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17.2《投标文件》中应由供应商法定代表人或其授权代表签字（或盖章）的，亦可使用法定代表人或其授权代表电子签章。</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17.3参与在线投标时如遇平台技术问题详询</w:t>
      </w:r>
      <w:r>
        <w:rPr>
          <w:rFonts w:hint="eastAsia" w:ascii="宋体" w:hAnsi="宋体" w:cs="宋体"/>
          <w:kern w:val="0"/>
          <w:sz w:val="24"/>
          <w:lang w:val="en-US" w:eastAsia="zh-CN"/>
        </w:rPr>
        <w:t>95763</w:t>
      </w:r>
      <w:r>
        <w:rPr>
          <w:rFonts w:hint="eastAsia" w:ascii="宋体" w:hAnsi="宋体" w:cs="宋体"/>
          <w:kern w:val="0"/>
          <w:sz w:val="24"/>
        </w:rPr>
        <w:t>。</w:t>
      </w:r>
    </w:p>
    <w:p>
      <w:pPr>
        <w:spacing w:line="360" w:lineRule="auto"/>
        <w:rPr>
          <w:rFonts w:hint="eastAsia" w:ascii="宋体" w:hAnsi="宋体" w:cs="宋体"/>
          <w:b/>
          <w:kern w:val="0"/>
          <w:sz w:val="24"/>
        </w:rPr>
      </w:pPr>
      <w:r>
        <w:rPr>
          <w:rFonts w:hint="eastAsia" w:ascii="宋体" w:hAnsi="宋体" w:cs="宋体"/>
          <w:b/>
          <w:kern w:val="0"/>
          <w:sz w:val="24"/>
        </w:rPr>
        <w:t>18</w:t>
      </w:r>
      <w:r>
        <w:rPr>
          <w:rFonts w:hint="eastAsia" w:ascii="宋体" w:hAnsi="宋体" w:cs="宋体"/>
          <w:b/>
          <w:color w:val="000000"/>
          <w:kern w:val="0"/>
          <w:sz w:val="24"/>
        </w:rPr>
        <w:t>．</w:t>
      </w:r>
      <w:r>
        <w:rPr>
          <w:rFonts w:hint="eastAsia" w:ascii="宋体" w:hAnsi="宋体" w:cs="宋体"/>
          <w:b/>
          <w:kern w:val="0"/>
          <w:sz w:val="24"/>
        </w:rPr>
        <w:t>投标文件的形式</w:t>
      </w:r>
    </w:p>
    <w:p>
      <w:pPr>
        <w:spacing w:line="360" w:lineRule="auto"/>
        <w:ind w:firstLine="480" w:firstLineChars="200"/>
        <w:rPr>
          <w:rFonts w:hint="eastAsia" w:ascii="宋体" w:hAnsi="宋体" w:cs="宋体"/>
          <w:sz w:val="24"/>
        </w:rPr>
      </w:pPr>
      <w:r>
        <w:rPr>
          <w:rFonts w:hint="eastAsia" w:ascii="宋体" w:hAnsi="宋体" w:cs="宋体"/>
          <w:sz w:val="24"/>
        </w:rPr>
        <w:t>18.1投标文件的形式：见《前附表》；</w:t>
      </w:r>
    </w:p>
    <w:p>
      <w:pPr>
        <w:spacing w:line="360" w:lineRule="auto"/>
        <w:ind w:firstLine="480" w:firstLineChars="200"/>
        <w:rPr>
          <w:rFonts w:hint="eastAsia" w:ascii="宋体" w:hAnsi="宋体" w:cs="宋体"/>
          <w:sz w:val="24"/>
        </w:rPr>
      </w:pPr>
      <w:r>
        <w:rPr>
          <w:rFonts w:hint="eastAsia" w:ascii="宋体" w:hAnsi="宋体" w:cs="宋体"/>
          <w:sz w:val="24"/>
        </w:rPr>
        <w:t>18.2“电子加密投标文件”：“电子加密投标文件”是指通过“政采云电子交易客户端”完成投标文件编制后生成并加密的数据电文形式的投标文件。</w:t>
      </w:r>
    </w:p>
    <w:p>
      <w:pPr>
        <w:spacing w:line="360" w:lineRule="auto"/>
        <w:ind w:firstLine="480" w:firstLineChars="200"/>
        <w:rPr>
          <w:rFonts w:hint="eastAsia" w:ascii="宋体" w:hAnsi="宋体" w:cs="宋体"/>
          <w:sz w:val="24"/>
        </w:rPr>
      </w:pPr>
      <w:r>
        <w:rPr>
          <w:rFonts w:hint="eastAsia" w:ascii="宋体" w:hAnsi="宋体" w:cs="宋体"/>
          <w:sz w:val="24"/>
        </w:rPr>
        <w:t>18.3“备份投标文件”：“备份投标文件”是指与“电子加密投标文件”同时生成的数据电文形式的电子文件（备份标书），其他方式编制的“备份投标文件”视为无效的“备份投标文件”。</w:t>
      </w:r>
    </w:p>
    <w:p>
      <w:pPr>
        <w:spacing w:line="360" w:lineRule="auto"/>
        <w:rPr>
          <w:rFonts w:hint="eastAsia" w:ascii="宋体" w:hAnsi="宋体" w:cs="宋体"/>
          <w:kern w:val="0"/>
          <w:sz w:val="24"/>
        </w:rPr>
      </w:pPr>
      <w:r>
        <w:rPr>
          <w:rFonts w:hint="eastAsia" w:ascii="宋体" w:hAnsi="宋体" w:cs="宋体"/>
          <w:b/>
          <w:kern w:val="0"/>
          <w:sz w:val="24"/>
        </w:rPr>
        <w:t>19</w:t>
      </w:r>
      <w:r>
        <w:rPr>
          <w:rFonts w:hint="eastAsia" w:ascii="宋体" w:hAnsi="宋体" w:cs="宋体"/>
          <w:b/>
          <w:color w:val="000000"/>
          <w:kern w:val="0"/>
          <w:sz w:val="24"/>
        </w:rPr>
        <w:t>．</w:t>
      </w:r>
      <w:r>
        <w:rPr>
          <w:rFonts w:hint="eastAsia" w:ascii="宋体" w:hAnsi="宋体" w:cs="宋体"/>
          <w:b/>
          <w:kern w:val="0"/>
          <w:sz w:val="24"/>
        </w:rPr>
        <w:t>投标文件的份数：</w:t>
      </w:r>
      <w:r>
        <w:rPr>
          <w:rFonts w:hint="eastAsia" w:ascii="宋体" w:hAnsi="宋体" w:cs="宋体"/>
          <w:sz w:val="24"/>
        </w:rPr>
        <w:t>投标文件的份数：见《前附表》。</w:t>
      </w:r>
    </w:p>
    <w:p>
      <w:pPr>
        <w:spacing w:line="360" w:lineRule="auto"/>
        <w:jc w:val="center"/>
        <w:outlineLvl w:val="1"/>
        <w:rPr>
          <w:rFonts w:hint="eastAsia" w:ascii="宋体" w:hAnsi="宋体" w:cs="宋体"/>
          <w:b/>
          <w:sz w:val="24"/>
        </w:rPr>
      </w:pPr>
      <w:r>
        <w:rPr>
          <w:rFonts w:hint="eastAsia" w:ascii="宋体" w:hAnsi="宋体" w:cs="宋体"/>
          <w:b/>
          <w:sz w:val="24"/>
        </w:rPr>
        <w:t>四、投标文件的递交</w:t>
      </w:r>
    </w:p>
    <w:p>
      <w:pPr>
        <w:pStyle w:val="254"/>
        <w:spacing w:before="0"/>
        <w:ind w:firstLine="0" w:firstLineChars="0"/>
        <w:outlineLvl w:val="2"/>
        <w:rPr>
          <w:rFonts w:hint="eastAsia" w:ascii="宋体" w:hAnsi="宋体" w:cs="宋体"/>
          <w:b/>
          <w:szCs w:val="24"/>
        </w:rPr>
      </w:pPr>
      <w:r>
        <w:rPr>
          <w:rFonts w:hint="eastAsia" w:ascii="宋体" w:hAnsi="宋体" w:cs="宋体"/>
          <w:b/>
          <w:color w:val="000000"/>
          <w:szCs w:val="24"/>
        </w:rPr>
        <w:t>20</w:t>
      </w:r>
      <w:r>
        <w:rPr>
          <w:rFonts w:hint="eastAsia" w:ascii="宋体" w:hAnsi="宋体" w:cs="宋体"/>
          <w:b/>
          <w:color w:val="000000"/>
          <w:kern w:val="0"/>
          <w:szCs w:val="24"/>
        </w:rPr>
        <w:t>．</w:t>
      </w:r>
      <w:r>
        <w:rPr>
          <w:rFonts w:hint="eastAsia" w:ascii="宋体" w:hAnsi="宋体" w:cs="宋体"/>
          <w:b/>
          <w:bCs/>
          <w:color w:val="000000"/>
          <w:szCs w:val="24"/>
          <w:lang w:bidi="ar"/>
        </w:rPr>
        <w:t>投标文件的上传、递交：</w:t>
      </w:r>
      <w:r>
        <w:rPr>
          <w:rFonts w:hint="eastAsia" w:ascii="宋体" w:hAnsi="宋体" w:cs="宋体"/>
          <w:b/>
          <w:kern w:val="0"/>
          <w:szCs w:val="24"/>
        </w:rPr>
        <w:t>投标文件”的上传、递交：</w:t>
      </w:r>
      <w:r>
        <w:rPr>
          <w:rFonts w:hint="eastAsia" w:ascii="宋体" w:hAnsi="宋体" w:cs="宋体"/>
          <w:b/>
          <w:szCs w:val="24"/>
        </w:rPr>
        <w:t>见《前附表》。</w:t>
      </w:r>
    </w:p>
    <w:p>
      <w:pPr>
        <w:spacing w:line="360" w:lineRule="auto"/>
        <w:rPr>
          <w:rFonts w:hint="eastAsia" w:ascii="宋体" w:hAnsi="宋体" w:cs="宋体"/>
          <w:sz w:val="24"/>
        </w:rPr>
      </w:pPr>
      <w:r>
        <w:rPr>
          <w:rFonts w:hint="eastAsia" w:ascii="宋体" w:hAnsi="宋体" w:cs="宋体"/>
          <w:b/>
          <w:kern w:val="0"/>
          <w:sz w:val="24"/>
        </w:rPr>
        <w:t>21</w:t>
      </w:r>
      <w:r>
        <w:rPr>
          <w:rFonts w:hint="eastAsia" w:ascii="宋体" w:hAnsi="宋体" w:cs="宋体"/>
          <w:b/>
          <w:color w:val="000000"/>
          <w:kern w:val="0"/>
          <w:sz w:val="24"/>
        </w:rPr>
        <w:t>．</w:t>
      </w:r>
      <w:r>
        <w:rPr>
          <w:rFonts w:hint="eastAsia" w:ascii="宋体" w:hAnsi="宋体" w:cs="宋体"/>
          <w:b/>
          <w:sz w:val="24"/>
        </w:rPr>
        <w:t>“电子加密投标文件”解密和异常情况处理：</w:t>
      </w:r>
      <w:r>
        <w:rPr>
          <w:rFonts w:hint="eastAsia" w:ascii="宋体" w:hAnsi="宋体" w:cs="宋体"/>
          <w:kern w:val="0"/>
          <w:sz w:val="24"/>
        </w:rPr>
        <w:t>“电子加密投标文件”解密和异常处理：</w:t>
      </w:r>
      <w:r>
        <w:rPr>
          <w:rFonts w:hint="eastAsia" w:ascii="宋体" w:hAnsi="宋体" w:cs="宋体"/>
          <w:sz w:val="24"/>
        </w:rPr>
        <w:t>见《前附表》。</w:t>
      </w:r>
    </w:p>
    <w:p>
      <w:pPr>
        <w:spacing w:line="360" w:lineRule="auto"/>
        <w:rPr>
          <w:rFonts w:hint="eastAsia" w:ascii="宋体" w:hAnsi="宋体" w:cs="宋体"/>
          <w:b/>
          <w:sz w:val="24"/>
        </w:rPr>
      </w:pPr>
      <w:r>
        <w:rPr>
          <w:rFonts w:hint="eastAsia" w:ascii="宋体" w:hAnsi="宋体" w:cs="宋体"/>
          <w:b/>
          <w:kern w:val="0"/>
          <w:sz w:val="24"/>
        </w:rPr>
        <w:t>22</w:t>
      </w:r>
      <w:r>
        <w:rPr>
          <w:rFonts w:hint="eastAsia" w:ascii="宋体" w:hAnsi="宋体" w:cs="宋体"/>
          <w:b/>
          <w:color w:val="000000"/>
          <w:kern w:val="0"/>
          <w:sz w:val="24"/>
        </w:rPr>
        <w:t>．</w:t>
      </w:r>
      <w:r>
        <w:rPr>
          <w:rFonts w:hint="eastAsia" w:ascii="宋体" w:hAnsi="宋体" w:cs="宋体"/>
          <w:b/>
          <w:sz w:val="24"/>
        </w:rPr>
        <w:t>投标文件的补充、修改或撤回</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22.1供应商应当在投标截止时间前完成投标文件的上传、递交，并可以补充、修改或者撤回投标文件。补充或者修改投标文件的，应当先行撤回原文件，补充、修改后重新上传、递交。投标截止时间前未完成上传、递交的，视为撤回投标文件。投标截止时间后递交的投标文件，“政府采购云平台”将予以拒收。</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22.2投标截止时间后，供应商不得撤回、修改《投标文件》。</w:t>
      </w:r>
    </w:p>
    <w:p>
      <w:pPr>
        <w:spacing w:line="360" w:lineRule="auto"/>
        <w:rPr>
          <w:rFonts w:hint="eastAsia" w:ascii="宋体" w:hAnsi="宋体" w:cs="宋体"/>
          <w:sz w:val="24"/>
        </w:rPr>
      </w:pPr>
      <w:r>
        <w:rPr>
          <w:rFonts w:hint="eastAsia" w:ascii="宋体" w:hAnsi="宋体" w:cs="宋体"/>
          <w:b/>
          <w:kern w:val="0"/>
          <w:sz w:val="24"/>
        </w:rPr>
        <w:t>23</w:t>
      </w:r>
      <w:r>
        <w:rPr>
          <w:rFonts w:hint="eastAsia" w:ascii="宋体" w:hAnsi="宋体" w:cs="宋体"/>
          <w:b/>
          <w:color w:val="000000"/>
          <w:kern w:val="0"/>
          <w:sz w:val="24"/>
        </w:rPr>
        <w:t>．</w:t>
      </w:r>
      <w:r>
        <w:rPr>
          <w:rFonts w:hint="eastAsia" w:ascii="宋体" w:hAnsi="宋体" w:cs="宋体"/>
          <w:b/>
          <w:sz w:val="24"/>
        </w:rPr>
        <w:t>投标文件的备选方案：</w:t>
      </w:r>
      <w:r>
        <w:rPr>
          <w:rFonts w:hint="eastAsia" w:ascii="宋体" w:hAnsi="宋体" w:cs="宋体"/>
          <w:sz w:val="24"/>
        </w:rPr>
        <w:t>供应商不得递交任何的</w:t>
      </w:r>
      <w:r>
        <w:rPr>
          <w:rFonts w:hint="eastAsia" w:ascii="宋体" w:hAnsi="宋体" w:cs="宋体"/>
          <w:kern w:val="0"/>
          <w:sz w:val="24"/>
        </w:rPr>
        <w:t>投标备选（替代）方案</w:t>
      </w:r>
      <w:r>
        <w:rPr>
          <w:rFonts w:hint="eastAsia" w:ascii="宋体" w:hAnsi="宋体" w:cs="宋体"/>
          <w:sz w:val="24"/>
        </w:rPr>
        <w:t>，否则其投标文件将作无效标处理。与“电子加密投标文件”同时生成的“备份投标文件”不是投标备选（替代）方案。</w:t>
      </w:r>
    </w:p>
    <w:p>
      <w:pPr>
        <w:pStyle w:val="254"/>
        <w:spacing w:before="0"/>
        <w:ind w:firstLine="0" w:firstLineChars="0"/>
        <w:outlineLvl w:val="2"/>
        <w:rPr>
          <w:rFonts w:hint="eastAsia" w:ascii="宋体" w:hAnsi="宋体" w:cs="宋体"/>
          <w:b/>
          <w:color w:val="000000"/>
          <w:szCs w:val="24"/>
        </w:rPr>
      </w:pPr>
      <w:r>
        <w:rPr>
          <w:rFonts w:hint="eastAsia" w:ascii="宋体" w:hAnsi="宋体" w:cs="宋体"/>
          <w:b/>
          <w:color w:val="000000"/>
          <w:szCs w:val="24"/>
        </w:rPr>
        <w:t>24</w:t>
      </w:r>
      <w:r>
        <w:rPr>
          <w:rFonts w:hint="eastAsia" w:ascii="宋体" w:hAnsi="宋体" w:cs="宋体"/>
          <w:b/>
          <w:color w:val="000000"/>
          <w:kern w:val="0"/>
          <w:szCs w:val="24"/>
        </w:rPr>
        <w:t>．</w:t>
      </w:r>
      <w:r>
        <w:rPr>
          <w:rFonts w:hint="eastAsia" w:ascii="宋体" w:hAnsi="宋体" w:cs="宋体"/>
          <w:b/>
          <w:color w:val="000000"/>
          <w:szCs w:val="24"/>
        </w:rPr>
        <w:t>投标截止期</w:t>
      </w:r>
    </w:p>
    <w:p>
      <w:pPr>
        <w:pStyle w:val="254"/>
        <w:spacing w:before="0"/>
        <w:ind w:firstLine="480"/>
        <w:rPr>
          <w:rFonts w:hint="eastAsia" w:ascii="宋体" w:hAnsi="宋体" w:cs="宋体"/>
          <w:color w:val="000000"/>
          <w:szCs w:val="24"/>
        </w:rPr>
      </w:pPr>
      <w:r>
        <w:rPr>
          <w:rFonts w:hint="eastAsia" w:ascii="宋体" w:hAnsi="宋体" w:cs="宋体"/>
          <w:color w:val="000000"/>
          <w:szCs w:val="24"/>
        </w:rPr>
        <w:t>24.1供应商应按前附表第7、8两项规定的时间将投标文件（在线）递交，采购代理机构将拒绝接受逾期送达的投标文件。</w:t>
      </w:r>
    </w:p>
    <w:p>
      <w:pPr>
        <w:pStyle w:val="254"/>
        <w:spacing w:before="0"/>
        <w:ind w:firstLine="480"/>
        <w:rPr>
          <w:rFonts w:hint="eastAsia" w:ascii="宋体" w:hAnsi="宋体" w:cs="宋体"/>
          <w:color w:val="000000"/>
          <w:szCs w:val="24"/>
        </w:rPr>
      </w:pPr>
      <w:r>
        <w:rPr>
          <w:rFonts w:hint="eastAsia" w:ascii="宋体" w:hAnsi="宋体" w:cs="宋体"/>
          <w:color w:val="000000"/>
          <w:szCs w:val="24"/>
        </w:rPr>
        <w:t>24.2采购人可以按本须知规定以补充通知的方式，酌情延长递交投标文件的截止日期。在上述情况下，采购人与供应商以前在投标截止期方面的全部权利、责任和义务，将适用于延长至新的投标截止期。</w:t>
      </w:r>
    </w:p>
    <w:p>
      <w:pPr>
        <w:spacing w:line="360" w:lineRule="auto"/>
        <w:jc w:val="center"/>
        <w:rPr>
          <w:rFonts w:hint="eastAsia" w:ascii="宋体" w:hAnsi="宋体" w:cs="宋体"/>
          <w:b/>
          <w:kern w:val="0"/>
          <w:sz w:val="24"/>
        </w:rPr>
      </w:pPr>
      <w:r>
        <w:rPr>
          <w:rFonts w:hint="eastAsia" w:ascii="宋体" w:hAnsi="宋体" w:cs="宋体"/>
          <w:b/>
          <w:kern w:val="0"/>
          <w:sz w:val="24"/>
        </w:rPr>
        <w:t>五、开标</w:t>
      </w:r>
    </w:p>
    <w:p>
      <w:pPr>
        <w:spacing w:line="360" w:lineRule="auto"/>
        <w:rPr>
          <w:rFonts w:hint="eastAsia" w:ascii="宋体" w:hAnsi="宋体" w:cs="宋体"/>
          <w:b/>
          <w:kern w:val="0"/>
          <w:sz w:val="24"/>
        </w:rPr>
      </w:pPr>
      <w:r>
        <w:rPr>
          <w:rFonts w:hint="eastAsia" w:ascii="宋体" w:hAnsi="宋体" w:cs="宋体"/>
          <w:b/>
          <w:kern w:val="0"/>
          <w:sz w:val="24"/>
        </w:rPr>
        <w:t>25</w:t>
      </w:r>
      <w:r>
        <w:rPr>
          <w:rFonts w:hint="eastAsia" w:ascii="宋体" w:hAnsi="宋体" w:cs="宋体"/>
          <w:b/>
          <w:color w:val="000000"/>
          <w:kern w:val="0"/>
          <w:sz w:val="24"/>
        </w:rPr>
        <w:t>．</w:t>
      </w:r>
      <w:r>
        <w:rPr>
          <w:rFonts w:hint="eastAsia" w:ascii="宋体" w:hAnsi="宋体" w:cs="宋体"/>
          <w:b/>
          <w:kern w:val="0"/>
          <w:sz w:val="24"/>
        </w:rPr>
        <w:t>开标</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（一）开标形式</w:t>
      </w:r>
    </w:p>
    <w:p>
      <w:pPr>
        <w:spacing w:line="360" w:lineRule="auto"/>
        <w:ind w:firstLine="480" w:firstLineChars="200"/>
        <w:rPr>
          <w:rFonts w:hint="eastAsia" w:ascii="宋体" w:hAnsi="宋体" w:cs="宋体"/>
          <w:bCs/>
          <w:sz w:val="24"/>
        </w:rPr>
      </w:pPr>
      <w:r>
        <w:rPr>
          <w:rFonts w:hint="eastAsia" w:ascii="宋体" w:hAnsi="宋体" w:cs="宋体"/>
          <w:bCs/>
          <w:sz w:val="24"/>
        </w:rPr>
        <w:t>采购代理机构将按照采购文件规定的时间通过“政府采购云平台”组织开标、开启投标文件，所有供应商均应当准时在线参加。</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（二）开标准备</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1、开标的准备工作由采购代理机构负责落实；</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w:t>
      </w:r>
      <w:r>
        <w:rPr>
          <w:rFonts w:hint="eastAsia" w:ascii="宋体" w:hAnsi="宋体" w:cs="宋体"/>
          <w:sz w:val="24"/>
        </w:rPr>
        <w:t>采购代理机构将按照采购文件规定的时间通过“政府采购云平台”组织开标、开启投标文件，所有供应商均应当准时在线参加。</w:t>
      </w:r>
      <w:r>
        <w:rPr>
          <w:rFonts w:hint="eastAsia" w:ascii="宋体" w:hAnsi="宋体" w:cs="宋体"/>
          <w:kern w:val="0"/>
          <w:sz w:val="24"/>
        </w:rPr>
        <w:t>供应商如不参加开标大会的，视同认可开标结果，事后不得对采购相关人员、开标过程和开标结果提出异议，同时供应商因未在线参加开标而导致投标文件无法按时解密等一切后果由供应商自己承担。</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（三）开标流程（两个阶段）</w:t>
      </w:r>
    </w:p>
    <w:p>
      <w:pPr>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1、开标第一阶段</w:t>
      </w:r>
    </w:p>
    <w:p>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向各供应商发出电子加密投标文件【开始解密】通知，由供应商按采购文件规定的时间内自行进行投标文件解密。供应商在规定的时间内无法完成已递交的“电子加密投标文件”解密的，如已按规定递交了备份投标文件的，将由采购代理机构按“政府采购云平台”操作规范点击“异常处理”，将供应商备份投标文件上传至“政府采购云平台”，上传成功后，“电子加密投标文件”自动失效；</w:t>
      </w:r>
    </w:p>
    <w:p>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（2）投标文件解密结束，开启投标文件，进入资格审查；</w:t>
      </w:r>
    </w:p>
    <w:p>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（3）开启资格审查通过的供应商的商务资信技术文件进入符合性审查、商务资信技术评审；</w:t>
      </w:r>
    </w:p>
    <w:p>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（4）第一阶段开标结束。</w:t>
      </w:r>
    </w:p>
    <w:p>
      <w:pPr>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备注：开标大会的第一阶段结束后，采购人或采购代理机构将依法对供应商的资格进行审查，资格审查结束后进入符合性审查和商务资信技术的评审工作。</w:t>
      </w:r>
    </w:p>
    <w:p>
      <w:pPr>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2、开标大会第二阶段</w:t>
      </w:r>
    </w:p>
    <w:p>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符合性审查、商务资信技术评审结束后，举行开标大会第二阶段会议。首先通过发送邮件形式公布符合性审查、商务资信技术评审无效供应商名称及理由；公布经商务资信技术评审后有效供应商的名单，同时公布其商务资信技术得分（总分）情况。</w:t>
      </w:r>
    </w:p>
    <w:p>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2）开启符合性审查、商务资信技术评审有效供应商的《报价文件》，通过发送邮件形式公布开标记录表（所有供应商的报价），供应商对自己的报价金额有异议的通过发送邮件形式说明（不予说明视为无异议）。唱标结束后，由评标委员会对报价的合理性、准确性等进行审查核实。</w:t>
      </w:r>
    </w:p>
    <w:p>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（3）评审结束后，通过发送邮件形式公布中标候选供应商名单，及采购人最终确定中标人。</w:t>
      </w:r>
    </w:p>
    <w:p>
      <w:pPr>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特别说明：如遇“政府采购云平台”电子化开标或评审程序调整的，按调整后程序执行。</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（四）供应商资格审查</w:t>
      </w:r>
    </w:p>
    <w:p>
      <w:pPr>
        <w:spacing w:line="360" w:lineRule="auto"/>
        <w:ind w:firstLine="482" w:firstLineChars="200"/>
        <w:rPr>
          <w:rFonts w:hint="eastAsia" w:ascii="宋体" w:hAnsi="宋体" w:cs="宋体"/>
          <w:sz w:val="24"/>
        </w:rPr>
      </w:pPr>
      <w:r>
        <w:rPr>
          <w:rFonts w:hint="eastAsia" w:ascii="宋体" w:hAnsi="宋体" w:cs="宋体"/>
          <w:b/>
          <w:sz w:val="24"/>
        </w:rPr>
        <w:t>1、开标大会第一阶段结束后，采购人或采购代理机构首先依法对各供应商的资格进行审查，审查各供应商的资格是否满足采购文件的要求。</w:t>
      </w:r>
      <w:r>
        <w:rPr>
          <w:rFonts w:hint="eastAsia" w:ascii="宋体" w:hAnsi="宋体" w:cs="宋体"/>
          <w:sz w:val="24"/>
        </w:rPr>
        <w:t>采购人或采购代理机构对供应商所提交的资格证明材料仅负审核的责任。如发现供应商所提交的资格证明材料不合法或与事实不符，采购人可取消其中标资格并追究供应商的法律责任。</w:t>
      </w:r>
    </w:p>
    <w:p>
      <w:pPr>
        <w:spacing w:line="360" w:lineRule="auto"/>
        <w:ind w:firstLine="482" w:firstLineChars="200"/>
        <w:rPr>
          <w:rFonts w:hint="eastAsia" w:ascii="宋体" w:hAnsi="宋体" w:cs="宋体"/>
          <w:b/>
          <w:kern w:val="0"/>
          <w:sz w:val="24"/>
        </w:rPr>
      </w:pPr>
      <w:r>
        <w:rPr>
          <w:rFonts w:hint="eastAsia" w:ascii="宋体" w:hAnsi="宋体" w:cs="宋体"/>
          <w:b/>
          <w:sz w:val="24"/>
        </w:rPr>
        <w:t>2、供应商提交的资格证明材料无法证明其符合采购文件规定的“供应商资格要求”的，采购人或采购代理机构</w:t>
      </w:r>
      <w:r>
        <w:rPr>
          <w:rFonts w:hint="eastAsia" w:ascii="宋体" w:hAnsi="宋体" w:cs="宋体"/>
          <w:b/>
          <w:kern w:val="0"/>
          <w:sz w:val="24"/>
        </w:rPr>
        <w:t>将对其作资格审查不通过处理（无效投标），并不再将其投标提交评标委员会进行后续评审。</w:t>
      </w:r>
    </w:p>
    <w:p>
      <w:pPr>
        <w:spacing w:line="360" w:lineRule="auto"/>
        <w:ind w:firstLine="482" w:firstLineChars="200"/>
        <w:rPr>
          <w:rFonts w:hint="eastAsia" w:ascii="宋体" w:hAnsi="宋体" w:cs="宋体"/>
          <w:b/>
          <w:kern w:val="0"/>
          <w:sz w:val="24"/>
        </w:rPr>
      </w:pPr>
      <w:r>
        <w:rPr>
          <w:rFonts w:hint="eastAsia" w:ascii="宋体" w:hAnsi="宋体" w:cs="宋体"/>
          <w:b/>
          <w:sz w:val="24"/>
        </w:rPr>
        <w:t>3、</w:t>
      </w:r>
      <w:r>
        <w:rPr>
          <w:rFonts w:hint="eastAsia" w:ascii="宋体" w:hAnsi="宋体" w:cs="宋体"/>
          <w:b/>
          <w:kern w:val="0"/>
          <w:sz w:val="24"/>
        </w:rPr>
        <w:t>单位负责人为同一人或者存在直接控股、管理关系的不同供应商参加同一项目下的政府采购活动的，相关供应商均作资格无效处理。</w:t>
      </w:r>
    </w:p>
    <w:p>
      <w:pPr>
        <w:spacing w:line="360" w:lineRule="auto"/>
        <w:jc w:val="center"/>
        <w:rPr>
          <w:rFonts w:hint="eastAsia" w:ascii="宋体" w:hAnsi="宋体" w:cs="宋体"/>
          <w:b/>
          <w:kern w:val="0"/>
          <w:sz w:val="24"/>
        </w:rPr>
      </w:pPr>
      <w:r>
        <w:rPr>
          <w:rFonts w:hint="eastAsia" w:ascii="宋体" w:hAnsi="宋体" w:cs="宋体"/>
          <w:b/>
          <w:kern w:val="0"/>
          <w:sz w:val="24"/>
        </w:rPr>
        <w:t>六、评标</w:t>
      </w:r>
    </w:p>
    <w:p>
      <w:pPr>
        <w:autoSpaceDE w:val="0"/>
        <w:autoSpaceDN w:val="0"/>
        <w:spacing w:line="360" w:lineRule="auto"/>
        <w:rPr>
          <w:rFonts w:hint="eastAsia" w:ascii="宋体" w:hAnsi="宋体" w:cs="宋体"/>
          <w:sz w:val="24"/>
        </w:rPr>
      </w:pPr>
      <w:r>
        <w:rPr>
          <w:rFonts w:hint="eastAsia" w:ascii="宋体" w:hAnsi="宋体" w:cs="宋体"/>
          <w:b/>
          <w:bCs/>
          <w:sz w:val="24"/>
          <w:lang w:val="zh-CN"/>
        </w:rPr>
        <w:t>2</w:t>
      </w:r>
      <w:r>
        <w:rPr>
          <w:rFonts w:hint="eastAsia" w:ascii="宋体" w:hAnsi="宋体" w:cs="宋体"/>
          <w:b/>
          <w:bCs/>
          <w:sz w:val="24"/>
        </w:rPr>
        <w:t>6</w:t>
      </w:r>
      <w:r>
        <w:rPr>
          <w:rFonts w:hint="eastAsia" w:ascii="宋体" w:hAnsi="宋体" w:cs="宋体"/>
          <w:b/>
          <w:color w:val="000000"/>
          <w:kern w:val="0"/>
          <w:sz w:val="24"/>
        </w:rPr>
        <w:t>．</w:t>
      </w:r>
      <w:r>
        <w:rPr>
          <w:rFonts w:hint="eastAsia" w:ascii="宋体" w:hAnsi="宋体" w:cs="宋体"/>
          <w:b/>
          <w:bCs/>
          <w:sz w:val="24"/>
          <w:lang w:val="zh-CN"/>
        </w:rPr>
        <w:t>评标会议</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（一）评审工作的组织</w:t>
      </w:r>
    </w:p>
    <w:p>
      <w:pPr>
        <w:spacing w:line="360" w:lineRule="auto"/>
        <w:ind w:firstLine="480" w:firstLineChars="200"/>
        <w:rPr>
          <w:rFonts w:hint="eastAsia" w:ascii="宋体" w:hAnsi="宋体" w:cs="宋体"/>
          <w:kern w:val="0"/>
          <w:sz w:val="24"/>
        </w:rPr>
      </w:pPr>
      <w:r>
        <w:rPr>
          <w:rFonts w:hint="eastAsia" w:ascii="宋体" w:hAnsi="宋体" w:cs="宋体"/>
          <w:kern w:val="0"/>
          <w:sz w:val="24"/>
        </w:rPr>
        <w:t>采购代理机构负责组织本项目的评审工作，并依据《政府采购货物和服务招标投标管理办法（财政部第87号令）》第四十五条的相关规定履行职责。</w:t>
      </w:r>
    </w:p>
    <w:p>
      <w:pPr>
        <w:spacing w:line="360" w:lineRule="auto"/>
        <w:ind w:firstLine="482" w:firstLineChars="200"/>
        <w:rPr>
          <w:rFonts w:hint="eastAsia" w:ascii="宋体" w:hAnsi="宋体" w:cs="宋体"/>
          <w:b/>
          <w:sz w:val="24"/>
        </w:rPr>
      </w:pPr>
      <w:r>
        <w:rPr>
          <w:rFonts w:hint="eastAsia" w:ascii="宋体" w:hAnsi="宋体" w:cs="宋体"/>
          <w:b/>
          <w:kern w:val="0"/>
          <w:sz w:val="24"/>
        </w:rPr>
        <w:t>（二）</w:t>
      </w:r>
      <w:r>
        <w:rPr>
          <w:rFonts w:hint="eastAsia" w:ascii="宋体" w:hAnsi="宋体" w:cs="宋体"/>
          <w:b/>
          <w:sz w:val="24"/>
        </w:rPr>
        <w:t>评标委员会的组建</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1、评标委员会由采购人或采购代理机构依法组建，成员包括采购人代表和评审专家，成员人数为五人或以上单数，其中评审专家（技术、经济等方面）不少于成员总数的三分之二。</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2、评标委员会成员名单在评审结果（采购结果）公告前保密。</w:t>
      </w:r>
    </w:p>
    <w:p>
      <w:pPr>
        <w:spacing w:line="360" w:lineRule="auto"/>
        <w:ind w:firstLine="482" w:firstLineChars="200"/>
        <w:rPr>
          <w:rFonts w:hint="eastAsia" w:ascii="宋体" w:hAnsi="宋体" w:cs="宋体"/>
          <w:b/>
          <w:sz w:val="24"/>
        </w:rPr>
      </w:pPr>
      <w:r>
        <w:rPr>
          <w:rFonts w:hint="eastAsia" w:ascii="宋体" w:hAnsi="宋体" w:cs="宋体"/>
          <w:b/>
          <w:kern w:val="0"/>
          <w:sz w:val="24"/>
        </w:rPr>
        <w:t>（三）</w:t>
      </w:r>
      <w:r>
        <w:rPr>
          <w:rFonts w:hint="eastAsia" w:ascii="宋体" w:hAnsi="宋体" w:cs="宋体"/>
          <w:b/>
          <w:sz w:val="24"/>
        </w:rPr>
        <w:t>评标委员会的职责</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1、评标委员会负责具体评审事务，并独立履行下列职责：</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（1）审查、评价投标文件是否符合采购文件的资信、技术等实质性要求；</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（2）要求供应商对投标文件有关事项作出澄清或者说明；</w:t>
      </w:r>
    </w:p>
    <w:p>
      <w:pPr>
        <w:spacing w:line="360" w:lineRule="auto"/>
        <w:ind w:firstLine="480" w:firstLineChars="200"/>
        <w:rPr>
          <w:rFonts w:hint="eastAsia" w:ascii="宋体" w:hAnsi="宋体" w:cs="宋体"/>
          <w:kern w:val="0"/>
          <w:sz w:val="24"/>
        </w:rPr>
      </w:pPr>
      <w:r>
        <w:rPr>
          <w:rFonts w:hint="eastAsia" w:ascii="宋体" w:hAnsi="宋体" w:cs="宋体"/>
          <w:kern w:val="0"/>
          <w:sz w:val="24"/>
        </w:rPr>
        <w:t>（3）对投标文件进行比较和评价；</w:t>
      </w:r>
    </w:p>
    <w:p>
      <w:pPr>
        <w:spacing w:line="360" w:lineRule="auto"/>
        <w:ind w:firstLine="480" w:firstLineChars="200"/>
        <w:rPr>
          <w:rFonts w:hint="eastAsia" w:ascii="宋体" w:hAnsi="宋体" w:cs="宋体"/>
          <w:kern w:val="0"/>
          <w:sz w:val="24"/>
        </w:rPr>
      </w:pPr>
      <w:r>
        <w:rPr>
          <w:rFonts w:hint="eastAsia" w:ascii="宋体" w:hAnsi="宋体" w:cs="宋体"/>
          <w:kern w:val="0"/>
          <w:sz w:val="24"/>
        </w:rPr>
        <w:t>（4）确定中标候选人名单，以及根据采购人委托直接确定中标人；</w:t>
      </w:r>
    </w:p>
    <w:p>
      <w:pPr>
        <w:adjustRightInd/>
        <w:spacing w:line="360" w:lineRule="auto"/>
        <w:ind w:firstLine="480" w:firstLineChars="200"/>
        <w:rPr>
          <w:rFonts w:hint="eastAsia" w:ascii="宋体" w:hAnsi="宋体" w:cs="宋体"/>
          <w:kern w:val="0"/>
          <w:sz w:val="24"/>
        </w:rPr>
      </w:pPr>
      <w:r>
        <w:rPr>
          <w:rFonts w:hint="eastAsia" w:ascii="宋体" w:hAnsi="宋体" w:cs="宋体"/>
          <w:kern w:val="0"/>
          <w:sz w:val="24"/>
        </w:rPr>
        <w:t>（5）向采购人、采购代理机构或者有关部门报告评审中发现的违法行为。</w:t>
      </w:r>
    </w:p>
    <w:p>
      <w:pPr>
        <w:adjustRightInd/>
        <w:spacing w:line="360" w:lineRule="auto"/>
        <w:ind w:firstLine="482" w:firstLineChars="200"/>
        <w:rPr>
          <w:rFonts w:hint="eastAsia" w:ascii="宋体" w:hAnsi="宋体" w:cs="宋体"/>
          <w:b/>
          <w:kern w:val="0"/>
          <w:sz w:val="24"/>
        </w:rPr>
      </w:pPr>
      <w:r>
        <w:rPr>
          <w:rFonts w:hint="eastAsia" w:ascii="宋体" w:hAnsi="宋体" w:cs="宋体"/>
          <w:b/>
          <w:kern w:val="0"/>
          <w:sz w:val="24"/>
        </w:rPr>
        <w:t>（四）评审原则</w:t>
      </w:r>
    </w:p>
    <w:p>
      <w:pPr>
        <w:spacing w:line="360" w:lineRule="auto"/>
        <w:ind w:firstLine="480" w:firstLineChars="200"/>
        <w:rPr>
          <w:rFonts w:hint="eastAsia" w:ascii="宋体" w:hAnsi="宋体" w:cs="宋体"/>
          <w:sz w:val="24"/>
        </w:rPr>
      </w:pPr>
      <w:r>
        <w:rPr>
          <w:rFonts w:hint="eastAsia" w:ascii="宋体" w:hAnsi="宋体" w:cs="宋体"/>
          <w:sz w:val="24"/>
        </w:rPr>
        <w:t>1、评审原则：</w:t>
      </w:r>
      <w:r>
        <w:rPr>
          <w:rFonts w:hint="eastAsia" w:ascii="宋体" w:hAnsi="宋体" w:cs="宋体"/>
          <w:kern w:val="0"/>
          <w:sz w:val="24"/>
        </w:rPr>
        <w:t>评标委员会</w:t>
      </w:r>
      <w:r>
        <w:rPr>
          <w:rFonts w:hint="eastAsia" w:ascii="宋体" w:hAnsi="宋体" w:cs="宋体"/>
          <w:sz w:val="24"/>
        </w:rPr>
        <w:t>按照客观、公正、审慎、择优的原则，根据采购文件规定的评审程序、评审方法和评审标准进行独立评审。</w:t>
      </w:r>
    </w:p>
    <w:p>
      <w:pPr>
        <w:spacing w:line="360" w:lineRule="auto"/>
        <w:ind w:firstLine="480" w:firstLineChars="200"/>
        <w:rPr>
          <w:rFonts w:hint="eastAsia" w:ascii="宋体" w:hAnsi="宋体" w:cs="宋体"/>
          <w:sz w:val="24"/>
        </w:rPr>
      </w:pPr>
      <w:r>
        <w:rPr>
          <w:rFonts w:hint="eastAsia" w:ascii="宋体" w:hAnsi="宋体" w:cs="宋体"/>
          <w:sz w:val="24"/>
        </w:rPr>
        <w:t>2、评审工作将依据</w:t>
      </w:r>
      <w:r>
        <w:rPr>
          <w:rFonts w:hint="eastAsia" w:ascii="宋体" w:hAnsi="宋体" w:cs="宋体"/>
          <w:kern w:val="0"/>
          <w:sz w:val="24"/>
        </w:rPr>
        <w:t>采购文件、投标文件及采购文件中事先已列明的内容进行。</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（五）评审意见的争议处理</w:t>
      </w:r>
    </w:p>
    <w:p>
      <w:pPr>
        <w:spacing w:line="360" w:lineRule="auto"/>
        <w:ind w:firstLine="480" w:firstLineChars="200"/>
        <w:rPr>
          <w:rFonts w:hint="eastAsia" w:ascii="宋体" w:hAnsi="宋体" w:cs="宋体"/>
          <w:bCs/>
          <w:sz w:val="24"/>
        </w:rPr>
      </w:pPr>
      <w:r>
        <w:rPr>
          <w:rFonts w:hint="eastAsia" w:ascii="宋体" w:hAnsi="宋体" w:cs="宋体"/>
          <w:bCs/>
          <w:sz w:val="24"/>
        </w:rPr>
        <w:t>评标委员会成员对需要共同认定的事项存在争议的，按照少数服从多数的原则作出结论。持不同意见的评标委员会成员应当在评审报告上签署不同意见及理由，否则视为同意评审报告。</w:t>
      </w:r>
    </w:p>
    <w:p>
      <w:pPr>
        <w:spacing w:line="360" w:lineRule="auto"/>
        <w:ind w:firstLine="482" w:firstLineChars="200"/>
        <w:rPr>
          <w:rFonts w:hint="eastAsia" w:ascii="宋体" w:hAnsi="宋体" w:cs="宋体"/>
          <w:b/>
          <w:bCs/>
          <w:sz w:val="24"/>
        </w:rPr>
      </w:pPr>
      <w:r>
        <w:rPr>
          <w:rFonts w:hint="eastAsia" w:ascii="宋体" w:hAnsi="宋体" w:cs="宋体"/>
          <w:b/>
          <w:bCs/>
          <w:sz w:val="24"/>
        </w:rPr>
        <w:t>（六）评委纪律</w:t>
      </w:r>
    </w:p>
    <w:p>
      <w:pPr>
        <w:spacing w:line="360" w:lineRule="auto"/>
        <w:ind w:firstLine="480" w:firstLineChars="200"/>
        <w:rPr>
          <w:rFonts w:hint="eastAsia" w:ascii="宋体" w:hAnsi="宋体" w:cs="宋体"/>
          <w:kern w:val="0"/>
          <w:sz w:val="24"/>
        </w:rPr>
      </w:pPr>
      <w:r>
        <w:rPr>
          <w:rFonts w:hint="eastAsia" w:ascii="宋体" w:hAnsi="宋体" w:cs="宋体"/>
          <w:sz w:val="24"/>
        </w:rPr>
        <w:t>评标委员会成员必须严格遵守保密规定，不得泄露评审的有关情况</w:t>
      </w:r>
      <w:r>
        <w:rPr>
          <w:rFonts w:hint="eastAsia" w:ascii="宋体" w:hAnsi="宋体" w:cs="宋体"/>
          <w:kern w:val="0"/>
          <w:sz w:val="24"/>
        </w:rPr>
        <w:t>，任何单位和个人不得干扰、影响评标的正常进行，评标委员会成员不得私下与供应商接触，不得出现浙江省政府采购活动现场组织管理办法中规定的其他禁止行为。</w:t>
      </w:r>
    </w:p>
    <w:p>
      <w:pPr>
        <w:spacing w:line="360" w:lineRule="auto"/>
        <w:ind w:firstLine="482" w:firstLineChars="200"/>
        <w:rPr>
          <w:rFonts w:hint="eastAsia" w:ascii="宋体" w:hAnsi="宋体" w:cs="宋体"/>
          <w:b/>
          <w:bCs/>
          <w:sz w:val="24"/>
        </w:rPr>
      </w:pPr>
      <w:r>
        <w:rPr>
          <w:rFonts w:hint="eastAsia" w:ascii="宋体" w:hAnsi="宋体" w:cs="宋体"/>
          <w:b/>
          <w:bCs/>
          <w:sz w:val="24"/>
        </w:rPr>
        <w:t>（七）评审流程及内容</w:t>
      </w:r>
    </w:p>
    <w:p>
      <w:pPr>
        <w:spacing w:line="360" w:lineRule="auto"/>
        <w:ind w:firstLine="482" w:firstLineChars="200"/>
        <w:rPr>
          <w:rFonts w:hint="eastAsia" w:ascii="宋体" w:hAnsi="宋体" w:cs="宋体"/>
          <w:sz w:val="24"/>
        </w:rPr>
      </w:pPr>
      <w:r>
        <w:rPr>
          <w:rFonts w:hint="eastAsia" w:ascii="宋体" w:hAnsi="宋体" w:cs="宋体"/>
          <w:b/>
          <w:kern w:val="0"/>
          <w:sz w:val="24"/>
        </w:rPr>
        <w:t>本项目具体的评审事务由评标委员会负责，评审流程及内容如下：</w:t>
      </w:r>
    </w:p>
    <w:p>
      <w:pPr>
        <w:spacing w:line="360" w:lineRule="auto"/>
        <w:ind w:firstLine="480" w:firstLineChars="200"/>
        <w:rPr>
          <w:rFonts w:hint="eastAsia" w:ascii="宋体" w:hAnsi="宋体" w:cs="宋体"/>
          <w:bCs/>
          <w:sz w:val="24"/>
        </w:rPr>
      </w:pPr>
      <w:r>
        <w:rPr>
          <w:rFonts w:hint="eastAsia" w:ascii="宋体" w:hAnsi="宋体" w:cs="宋体"/>
          <w:bCs/>
          <w:sz w:val="24"/>
        </w:rPr>
        <w:t>1、评审前准备</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（1）由评审专家推选评审小组组长，采购人代表不得担任评审小组组长。</w:t>
      </w:r>
    </w:p>
    <w:p>
      <w:pPr>
        <w:spacing w:line="360" w:lineRule="auto"/>
        <w:ind w:firstLine="480" w:firstLineChars="200"/>
        <w:rPr>
          <w:rFonts w:hint="eastAsia" w:ascii="宋体" w:hAnsi="宋体" w:cs="宋体"/>
          <w:b/>
          <w:kern w:val="0"/>
          <w:sz w:val="24"/>
        </w:rPr>
      </w:pPr>
      <w:r>
        <w:rPr>
          <w:rFonts w:hint="eastAsia" w:ascii="宋体" w:hAnsi="宋体" w:cs="宋体"/>
          <w:kern w:val="0"/>
          <w:sz w:val="24"/>
        </w:rPr>
        <w:t>（2）由评审小组组长（评标委员会主任委员）召集所有评委成员阅读采购文件及相关补充、质疑、答复文件、项目书面说明等材料，熟悉采购项目基本情况、采购需求、合同主要条款、投标文件无效情形、评审办法、评审标准，以及其他与评审有关的内容。</w:t>
      </w:r>
    </w:p>
    <w:p>
      <w:pPr>
        <w:spacing w:line="360" w:lineRule="auto"/>
        <w:ind w:firstLine="480" w:firstLineChars="200"/>
        <w:rPr>
          <w:rFonts w:hint="eastAsia" w:ascii="宋体" w:hAnsi="宋体" w:cs="宋体"/>
          <w:sz w:val="24"/>
        </w:rPr>
      </w:pPr>
      <w:r>
        <w:rPr>
          <w:rFonts w:hint="eastAsia" w:ascii="宋体" w:hAnsi="宋体" w:cs="宋体"/>
          <w:bCs/>
          <w:sz w:val="24"/>
        </w:rPr>
        <w:t>2、</w:t>
      </w:r>
      <w:r>
        <w:rPr>
          <w:rFonts w:hint="eastAsia" w:ascii="宋体" w:hAnsi="宋体" w:cs="宋体"/>
          <w:sz w:val="24"/>
        </w:rPr>
        <w:t>投标文件的初步审查、符合性审查</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对所有通过资格审查的供应商的投标文件进行初步审查，审查、评价投标文件是否符合采购文件的资信、技术、服务等实质性要求。</w:t>
      </w:r>
    </w:p>
    <w:p>
      <w:pPr>
        <w:spacing w:line="360" w:lineRule="auto"/>
        <w:ind w:firstLine="480" w:firstLineChars="200"/>
        <w:rPr>
          <w:rFonts w:hint="eastAsia" w:ascii="宋体" w:hAnsi="宋体" w:cs="宋体"/>
          <w:sz w:val="24"/>
        </w:rPr>
      </w:pPr>
      <w:r>
        <w:rPr>
          <w:rFonts w:hint="eastAsia" w:ascii="宋体" w:hAnsi="宋体" w:cs="宋体"/>
          <w:sz w:val="24"/>
        </w:rPr>
        <w:t>（1）评标委员会首先对所有通过资格审查的供应商的投标文件进行符合性审查，审查每份投标文件是否实质上响应了采购文件的要求（实质性响应的投标文件是指投标文件符合采购文件规定的实质性内容、条件和规定）。</w:t>
      </w:r>
    </w:p>
    <w:p>
      <w:pPr>
        <w:spacing w:line="360" w:lineRule="auto"/>
        <w:ind w:firstLine="480" w:firstLineChars="200"/>
        <w:rPr>
          <w:rFonts w:hint="eastAsia" w:ascii="宋体" w:hAnsi="宋体" w:cs="宋体"/>
          <w:sz w:val="24"/>
        </w:rPr>
      </w:pPr>
      <w:r>
        <w:rPr>
          <w:rFonts w:hint="eastAsia" w:ascii="宋体" w:hAnsi="宋体" w:cs="宋体"/>
          <w:bCs/>
          <w:sz w:val="24"/>
        </w:rPr>
        <w:t>3、</w:t>
      </w:r>
      <w:r>
        <w:rPr>
          <w:rFonts w:hint="eastAsia" w:ascii="宋体" w:hAnsi="宋体" w:cs="宋体"/>
          <w:sz w:val="24"/>
        </w:rPr>
        <w:t>投标文件的澄清、说明或补正</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对于投标文件中含义不明确、同类问题表述不一致或者有明显文字和计算错误的内容，评标委员会将以书面形式（或通过“政府采购云平台”在线询标）的形式要求供应商在规定的时间内作出必要的澄清、说明或者补正，供应商澄清、说明或补正时间为</w:t>
      </w:r>
      <w:r>
        <w:rPr>
          <w:rFonts w:hint="eastAsia" w:ascii="宋体" w:hAnsi="宋体" w:cs="宋体"/>
          <w:color w:val="0000FF"/>
          <w:kern w:val="0"/>
          <w:sz w:val="24"/>
        </w:rPr>
        <w:t>30分钟</w:t>
      </w:r>
      <w:r>
        <w:rPr>
          <w:rFonts w:hint="eastAsia" w:ascii="宋体" w:hAnsi="宋体" w:cs="宋体"/>
          <w:kern w:val="0"/>
          <w:sz w:val="24"/>
        </w:rPr>
        <w:t>。</w:t>
      </w:r>
    </w:p>
    <w:p>
      <w:pPr>
        <w:autoSpaceDE w:val="0"/>
        <w:autoSpaceDN w:val="0"/>
        <w:spacing w:line="360" w:lineRule="auto"/>
        <w:ind w:firstLine="480" w:firstLineChars="200"/>
        <w:rPr>
          <w:rFonts w:hint="eastAsia" w:ascii="宋体" w:hAnsi="宋体" w:cs="宋体"/>
          <w:kern w:val="0"/>
          <w:sz w:val="24"/>
        </w:rPr>
      </w:pPr>
      <w:r>
        <w:rPr>
          <w:rFonts w:hint="eastAsia" w:ascii="宋体" w:hAnsi="宋体" w:cs="宋体"/>
          <w:kern w:val="0"/>
          <w:sz w:val="24"/>
        </w:rPr>
        <w:t>（2）评标过程中评标委员会对供应商提出质询或要求供应商书面确认的（或通过“政府采购云平台”在线答复），采用书面形式提交并加盖公章，或者由法定代表人或其授权的代表签字，</w:t>
      </w:r>
      <w:r>
        <w:rPr>
          <w:rFonts w:hint="eastAsia" w:ascii="宋体" w:hAnsi="宋体" w:cs="宋体"/>
          <w:color w:val="0000FF"/>
          <w:kern w:val="0"/>
          <w:sz w:val="24"/>
        </w:rPr>
        <w:t>30分钟内</w:t>
      </w:r>
      <w:r>
        <w:rPr>
          <w:rFonts w:hint="eastAsia" w:ascii="宋体" w:hAnsi="宋体" w:cs="宋体"/>
          <w:kern w:val="0"/>
          <w:sz w:val="24"/>
        </w:rPr>
        <w:t>予以书面回复或确认，否则视为不予回复或确认，评标委员会有权拒绝该投标文件，澄清、说明或者补正不得超出投标文件的范围或者改变投标文件的实质性内容。</w:t>
      </w:r>
    </w:p>
    <w:p>
      <w:pPr>
        <w:spacing w:line="360" w:lineRule="auto"/>
        <w:ind w:firstLine="480" w:firstLineChars="200"/>
        <w:rPr>
          <w:rFonts w:hint="eastAsia" w:ascii="宋体" w:hAnsi="宋体" w:cs="宋体"/>
          <w:sz w:val="24"/>
        </w:rPr>
      </w:pPr>
      <w:r>
        <w:rPr>
          <w:rFonts w:hint="eastAsia" w:ascii="宋体" w:hAnsi="宋体" w:cs="宋体"/>
          <w:bCs/>
          <w:sz w:val="24"/>
        </w:rPr>
        <w:t>4、</w:t>
      </w:r>
      <w:r>
        <w:rPr>
          <w:rFonts w:hint="eastAsia" w:ascii="宋体" w:hAnsi="宋体" w:cs="宋体"/>
          <w:sz w:val="24"/>
        </w:rPr>
        <w:t>投标文件的错误修正</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《投标文件》如果出现计算或表达上的错误，修正错误的原则如下：</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（1）投标文件中开标一览表（报价表）内容与投标文件中相应内容不一致的，以开标一览表（报价表）为准。</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（2）《投标文件》的大写金额和小写金额不一致的，以大写金额为准；</w:t>
      </w:r>
    </w:p>
    <w:p>
      <w:pPr>
        <w:spacing w:line="360" w:lineRule="auto"/>
        <w:ind w:firstLine="480" w:firstLineChars="200"/>
        <w:rPr>
          <w:rFonts w:hint="eastAsia" w:ascii="宋体" w:hAnsi="宋体" w:cs="宋体"/>
          <w:kern w:val="0"/>
          <w:sz w:val="24"/>
        </w:rPr>
      </w:pPr>
      <w:r>
        <w:rPr>
          <w:rFonts w:hint="eastAsia" w:ascii="宋体" w:hAnsi="宋体" w:cs="宋体"/>
          <w:kern w:val="0"/>
          <w:sz w:val="24"/>
        </w:rPr>
        <w:t>（3）单价金额小数点或者百分比有明显错位的，应以开标一览表（报价表）的总价为准，并修改单价；</w:t>
      </w:r>
    </w:p>
    <w:p>
      <w:pPr>
        <w:spacing w:line="360" w:lineRule="auto"/>
        <w:ind w:firstLine="480" w:firstLineChars="200"/>
        <w:rPr>
          <w:rFonts w:hint="eastAsia" w:ascii="宋体" w:hAnsi="宋体" w:cs="宋体"/>
          <w:kern w:val="0"/>
          <w:sz w:val="24"/>
        </w:rPr>
      </w:pPr>
      <w:r>
        <w:rPr>
          <w:rFonts w:hint="eastAsia" w:ascii="宋体" w:hAnsi="宋体" w:cs="宋体"/>
          <w:kern w:val="0"/>
          <w:sz w:val="24"/>
        </w:rPr>
        <w:t>（4）总价金额与按单价汇总金额不一致的，以单价金额计算结果为准。</w:t>
      </w:r>
    </w:p>
    <w:p>
      <w:pPr>
        <w:spacing w:line="360" w:lineRule="auto"/>
        <w:ind w:firstLine="480" w:firstLineChars="200"/>
        <w:rPr>
          <w:rFonts w:hint="eastAsia" w:ascii="宋体" w:hAnsi="宋体" w:cs="宋体"/>
          <w:kern w:val="0"/>
          <w:sz w:val="24"/>
        </w:rPr>
      </w:pPr>
      <w:r>
        <w:rPr>
          <w:rFonts w:hint="eastAsia" w:ascii="宋体" w:hAnsi="宋体" w:cs="宋体"/>
          <w:kern w:val="0"/>
          <w:sz w:val="24"/>
        </w:rPr>
        <w:t>5、对不同文字文本《投标文件》的解释发生异议的，以中文文本为准。</w:t>
      </w:r>
    </w:p>
    <w:p>
      <w:pPr>
        <w:pStyle w:val="339"/>
        <w:autoSpaceDE/>
        <w:adjustRightInd/>
        <w:snapToGrid w:val="0"/>
        <w:spacing w:before="0" w:line="360" w:lineRule="auto"/>
        <w:ind w:left="0" w:firstLine="482" w:firstLineChars="200"/>
        <w:rPr>
          <w:rFonts w:hint="eastAsia" w:ascii="宋体" w:hAnsi="宋体" w:cs="宋体"/>
          <w:b/>
          <w:color w:val="000000"/>
          <w:kern w:val="2"/>
          <w:sz w:val="24"/>
          <w:szCs w:val="24"/>
        </w:rPr>
      </w:pPr>
      <w:r>
        <w:rPr>
          <w:rFonts w:hint="eastAsia" w:ascii="宋体" w:hAnsi="宋体" w:cs="宋体"/>
          <w:b/>
          <w:color w:val="000000"/>
          <w:kern w:val="2"/>
          <w:sz w:val="24"/>
          <w:szCs w:val="24"/>
        </w:rPr>
        <w:t>（八）投标文件有下列情况之一者将视为无效：</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1、资信、技术文件符合性审查中，存在下列情形之一的，经评标委员会认定后作无效标处理：</w:t>
      </w:r>
    </w:p>
    <w:p>
      <w:pPr>
        <w:spacing w:line="360" w:lineRule="auto"/>
        <w:ind w:firstLine="480" w:firstLineChars="200"/>
        <w:rPr>
          <w:rFonts w:hint="eastAsia" w:ascii="宋体" w:hAnsi="宋体" w:cs="宋体"/>
          <w:bCs/>
          <w:sz w:val="24"/>
        </w:rPr>
      </w:pPr>
      <w:r>
        <w:rPr>
          <w:rFonts w:hint="eastAsia" w:ascii="宋体" w:hAnsi="宋体" w:cs="宋体"/>
          <w:bCs/>
          <w:sz w:val="24"/>
        </w:rPr>
        <w:t>（1）投标文件未有效授权，法定代表人授权委托书等填写错误或有涂改未修正的；</w:t>
      </w:r>
    </w:p>
    <w:p>
      <w:pPr>
        <w:spacing w:line="360" w:lineRule="auto"/>
        <w:ind w:firstLine="480" w:firstLineChars="200"/>
        <w:rPr>
          <w:rFonts w:hint="eastAsia" w:ascii="宋体" w:hAnsi="宋体" w:cs="宋体"/>
          <w:bCs/>
          <w:sz w:val="24"/>
        </w:rPr>
      </w:pPr>
      <w:r>
        <w:rPr>
          <w:rFonts w:hint="eastAsia" w:ascii="宋体" w:hAnsi="宋体" w:cs="宋体"/>
          <w:bCs/>
          <w:sz w:val="24"/>
        </w:rPr>
        <w:t>（2）投标文件没有对本采购文件作出实质性响应的，或不满足（不响应）本采购文件中标注“▲”的实质性要求条款的，或存在采购文件中明确规定的其他无效标情形的；</w:t>
      </w:r>
    </w:p>
    <w:p>
      <w:pPr>
        <w:spacing w:line="360" w:lineRule="auto"/>
        <w:ind w:firstLine="480" w:firstLineChars="200"/>
        <w:rPr>
          <w:rFonts w:hint="eastAsia" w:ascii="宋体" w:hAnsi="宋体" w:cs="宋体"/>
          <w:bCs/>
          <w:sz w:val="24"/>
        </w:rPr>
      </w:pPr>
      <w:r>
        <w:rPr>
          <w:rFonts w:hint="eastAsia" w:ascii="宋体" w:hAnsi="宋体" w:cs="宋体"/>
          <w:bCs/>
          <w:sz w:val="24"/>
        </w:rPr>
        <w:t>（3）投标文件存在一个或一个以上备选（替代）投标方案的；</w:t>
      </w:r>
    </w:p>
    <w:p>
      <w:pPr>
        <w:spacing w:line="360" w:lineRule="auto"/>
        <w:ind w:firstLine="480" w:firstLineChars="200"/>
        <w:rPr>
          <w:rFonts w:hint="eastAsia" w:ascii="宋体" w:hAnsi="宋体" w:cs="宋体"/>
          <w:bCs/>
          <w:sz w:val="24"/>
        </w:rPr>
      </w:pPr>
      <w:r>
        <w:rPr>
          <w:rFonts w:hint="eastAsia" w:ascii="宋体" w:hAnsi="宋体" w:cs="宋体"/>
          <w:bCs/>
          <w:sz w:val="24"/>
        </w:rPr>
        <w:t>（4）仅提交“备份投标文件”的；</w:t>
      </w:r>
    </w:p>
    <w:p>
      <w:pPr>
        <w:spacing w:line="360" w:lineRule="auto"/>
        <w:ind w:firstLine="480" w:firstLineChars="200"/>
        <w:rPr>
          <w:rFonts w:hint="eastAsia" w:ascii="宋体" w:hAnsi="宋体" w:cs="宋体"/>
          <w:bCs/>
          <w:sz w:val="24"/>
        </w:rPr>
      </w:pPr>
      <w:r>
        <w:rPr>
          <w:rFonts w:hint="eastAsia" w:ascii="宋体" w:hAnsi="宋体" w:cs="宋体"/>
          <w:bCs/>
          <w:sz w:val="24"/>
        </w:rPr>
        <w:t>（5）文件组成内容不齐全，本采购文件规定必须提供而未提供的（属于资格审查范围的除外）；</w:t>
      </w:r>
    </w:p>
    <w:p>
      <w:pPr>
        <w:spacing w:line="360" w:lineRule="auto"/>
        <w:ind w:firstLine="480" w:firstLineChars="200"/>
        <w:rPr>
          <w:rFonts w:hint="eastAsia" w:ascii="宋体" w:hAnsi="宋体" w:cs="宋体"/>
          <w:bCs/>
          <w:sz w:val="24"/>
        </w:rPr>
      </w:pPr>
      <w:r>
        <w:rPr>
          <w:rFonts w:hint="eastAsia" w:ascii="宋体" w:hAnsi="宋体" w:cs="宋体"/>
          <w:bCs/>
          <w:sz w:val="24"/>
        </w:rPr>
        <w:t>（6）投标文件标注的响应或偏离情况与事实不符，或提供了虚假材料的；</w:t>
      </w:r>
    </w:p>
    <w:p>
      <w:pPr>
        <w:spacing w:line="360" w:lineRule="auto"/>
        <w:ind w:firstLine="480" w:firstLineChars="200"/>
        <w:rPr>
          <w:rFonts w:hint="eastAsia"/>
          <w:bCs/>
        </w:rPr>
      </w:pPr>
      <w:r>
        <w:rPr>
          <w:rFonts w:hint="eastAsia" w:ascii="宋体" w:hAnsi="宋体" w:cs="宋体"/>
          <w:bCs/>
          <w:sz w:val="24"/>
        </w:rPr>
        <w:t>（7）投标有效期、服务期（工期）、服务质量保证期等商务条款不能满足招标文件要求的；</w:t>
      </w:r>
    </w:p>
    <w:p>
      <w:pPr>
        <w:spacing w:line="360" w:lineRule="auto"/>
        <w:ind w:firstLine="480" w:firstLineChars="200"/>
        <w:rPr>
          <w:rFonts w:hint="eastAsia" w:ascii="宋体" w:hAnsi="宋体" w:cs="宋体"/>
          <w:bCs/>
          <w:sz w:val="24"/>
        </w:rPr>
      </w:pPr>
      <w:r>
        <w:rPr>
          <w:rFonts w:hint="eastAsia" w:ascii="宋体" w:hAnsi="宋体" w:cs="宋体"/>
          <w:bCs/>
          <w:sz w:val="24"/>
        </w:rPr>
        <w:t>（8）不响应或擅自改变本采购文件要求或投标文件有采购人不能接受的附加条件的；</w:t>
      </w:r>
    </w:p>
    <w:p>
      <w:pPr>
        <w:spacing w:line="360" w:lineRule="auto"/>
        <w:ind w:firstLine="480" w:firstLineChars="200"/>
        <w:rPr>
          <w:rFonts w:hint="eastAsia" w:ascii="宋体" w:hAnsi="宋体" w:cs="宋体"/>
          <w:bCs/>
          <w:sz w:val="24"/>
        </w:rPr>
      </w:pPr>
      <w:r>
        <w:rPr>
          <w:rFonts w:hint="eastAsia" w:ascii="宋体" w:hAnsi="宋体" w:cs="宋体"/>
          <w:bCs/>
          <w:sz w:val="24"/>
        </w:rPr>
        <w:t>（9）参加同一项目下政府采购活动的不同供应商之间存在利害关系并且存在影响政府采购公平竞争行为的；</w:t>
      </w:r>
    </w:p>
    <w:p>
      <w:pPr>
        <w:spacing w:line="360" w:lineRule="auto"/>
        <w:ind w:firstLine="480" w:firstLineChars="200"/>
        <w:rPr>
          <w:rFonts w:hint="eastAsia" w:ascii="宋体" w:hAnsi="宋体" w:cs="宋体"/>
          <w:bCs/>
          <w:sz w:val="24"/>
        </w:rPr>
      </w:pPr>
      <w:r>
        <w:rPr>
          <w:rFonts w:hint="eastAsia" w:ascii="宋体" w:hAnsi="宋体" w:cs="宋体"/>
          <w:bCs/>
          <w:sz w:val="24"/>
        </w:rPr>
        <w:t>（10）违反国家或政府部门相关法律、法规、文件规定的。</w:t>
      </w:r>
    </w:p>
    <w:p>
      <w:pPr>
        <w:spacing w:line="360" w:lineRule="auto"/>
        <w:ind w:firstLine="482" w:firstLineChars="200"/>
        <w:rPr>
          <w:rFonts w:hint="eastAsia" w:ascii="宋体" w:hAnsi="宋体" w:cs="宋体"/>
          <w:b/>
          <w:kern w:val="0"/>
          <w:sz w:val="24"/>
        </w:rPr>
      </w:pPr>
      <w:r>
        <w:rPr>
          <w:rFonts w:hint="eastAsia" w:ascii="宋体" w:hAnsi="宋体" w:cs="宋体"/>
          <w:b/>
          <w:kern w:val="0"/>
          <w:sz w:val="24"/>
        </w:rPr>
        <w:t>2、报价文件符合性审查中，存在下列情形之一的，经评标委员会认定后作无效标处理：</w:t>
      </w:r>
    </w:p>
    <w:p>
      <w:pPr>
        <w:spacing w:line="360" w:lineRule="auto"/>
        <w:ind w:firstLine="480" w:firstLineChars="200"/>
        <w:rPr>
          <w:rFonts w:hint="eastAsia" w:ascii="宋体" w:hAnsi="宋体" w:cs="宋体"/>
          <w:bCs/>
          <w:sz w:val="24"/>
        </w:rPr>
      </w:pPr>
      <w:r>
        <w:rPr>
          <w:rFonts w:hint="eastAsia" w:ascii="宋体" w:hAnsi="宋体" w:cs="宋体"/>
          <w:bCs/>
          <w:sz w:val="24"/>
        </w:rPr>
        <w:t>（1）投标文件没有对本采购文件作出实质性响应的，或不满足（不响应）本采购文件中标注“▲”的实质性要求条款的，或存在采购文件中明确规定的其他无效标情形的；</w:t>
      </w:r>
    </w:p>
    <w:p>
      <w:pPr>
        <w:spacing w:line="360" w:lineRule="auto"/>
        <w:ind w:firstLine="480" w:firstLineChars="200"/>
        <w:rPr>
          <w:rFonts w:hint="eastAsia" w:ascii="宋体" w:hAnsi="宋体" w:cs="宋体"/>
          <w:bCs/>
          <w:sz w:val="24"/>
        </w:rPr>
      </w:pPr>
      <w:r>
        <w:rPr>
          <w:rFonts w:hint="eastAsia" w:ascii="宋体" w:hAnsi="宋体" w:cs="宋体"/>
          <w:bCs/>
          <w:sz w:val="24"/>
        </w:rPr>
        <w:t>（2）投标文件存在一个或一个以上备选（替代）投标方案的；</w:t>
      </w:r>
    </w:p>
    <w:p>
      <w:pPr>
        <w:spacing w:line="360" w:lineRule="auto"/>
        <w:ind w:firstLine="480" w:firstLineChars="200"/>
        <w:rPr>
          <w:rFonts w:hint="eastAsia" w:ascii="宋体" w:hAnsi="宋体" w:cs="宋体"/>
          <w:bCs/>
          <w:sz w:val="24"/>
        </w:rPr>
      </w:pPr>
      <w:r>
        <w:rPr>
          <w:rFonts w:hint="eastAsia" w:ascii="宋体" w:hAnsi="宋体" w:cs="宋体"/>
          <w:bCs/>
          <w:sz w:val="24"/>
        </w:rPr>
        <w:t>（3）未按照采购文件标明的币种报价的，或者投标报价涵盖的内容不符合采购文件要求的；</w:t>
      </w:r>
    </w:p>
    <w:p>
      <w:pPr>
        <w:spacing w:line="360" w:lineRule="auto"/>
        <w:ind w:firstLine="480" w:firstLineChars="200"/>
        <w:rPr>
          <w:rFonts w:hint="eastAsia" w:ascii="宋体" w:hAnsi="宋体" w:cs="宋体"/>
          <w:bCs/>
          <w:sz w:val="24"/>
        </w:rPr>
      </w:pPr>
      <w:r>
        <w:rPr>
          <w:rFonts w:hint="eastAsia" w:ascii="宋体" w:hAnsi="宋体" w:cs="宋体"/>
          <w:bCs/>
          <w:sz w:val="24"/>
        </w:rPr>
        <w:t>（4）《开标一览表》内容与《投标报价明细表》内容不一致且拒不接受修正的；</w:t>
      </w:r>
    </w:p>
    <w:p>
      <w:pPr>
        <w:spacing w:line="360" w:lineRule="auto"/>
        <w:ind w:firstLine="480" w:firstLineChars="200"/>
        <w:rPr>
          <w:rFonts w:hint="eastAsia" w:ascii="宋体" w:hAnsi="宋体" w:cs="宋体"/>
          <w:bCs/>
          <w:sz w:val="24"/>
        </w:rPr>
      </w:pPr>
      <w:r>
        <w:rPr>
          <w:rFonts w:hint="eastAsia" w:ascii="宋体" w:hAnsi="宋体" w:cs="宋体"/>
          <w:bCs/>
          <w:sz w:val="24"/>
        </w:rPr>
        <w:t>（5）投标报价具有选择性；</w:t>
      </w:r>
    </w:p>
    <w:p>
      <w:pPr>
        <w:spacing w:line="360" w:lineRule="auto"/>
        <w:ind w:firstLine="480" w:firstLineChars="200"/>
        <w:rPr>
          <w:rFonts w:hint="eastAsia" w:ascii="宋体" w:hAnsi="宋体" w:cs="宋体"/>
          <w:bCs/>
          <w:sz w:val="24"/>
        </w:rPr>
      </w:pPr>
      <w:r>
        <w:rPr>
          <w:rFonts w:hint="eastAsia" w:ascii="宋体" w:hAnsi="宋体" w:cs="宋体"/>
          <w:bCs/>
          <w:sz w:val="24"/>
        </w:rPr>
        <w:t>（6）投标报价超过采购预算（或最高限价）的；</w:t>
      </w:r>
    </w:p>
    <w:p>
      <w:pPr>
        <w:spacing w:line="360" w:lineRule="auto"/>
        <w:ind w:firstLine="480" w:firstLineChars="200"/>
        <w:rPr>
          <w:rFonts w:hint="eastAsia" w:ascii="宋体" w:hAnsi="宋体" w:cs="宋体"/>
          <w:bCs/>
          <w:sz w:val="24"/>
        </w:rPr>
      </w:pPr>
      <w:r>
        <w:rPr>
          <w:rFonts w:hint="eastAsia" w:ascii="宋体" w:hAnsi="宋体" w:cs="宋体"/>
          <w:bCs/>
          <w:sz w:val="24"/>
        </w:rPr>
        <w:t>（7）投标文件组成内容不齐全，本采购文件规定必须提供而未提供的（属于资格审查范围的除外）；</w:t>
      </w:r>
    </w:p>
    <w:p>
      <w:pPr>
        <w:spacing w:line="360" w:lineRule="auto"/>
        <w:ind w:firstLine="480" w:firstLineChars="200"/>
        <w:rPr>
          <w:rFonts w:hint="eastAsia" w:ascii="宋体" w:hAnsi="宋体" w:cs="宋体"/>
          <w:bCs/>
          <w:sz w:val="24"/>
        </w:rPr>
      </w:pPr>
      <w:r>
        <w:rPr>
          <w:rFonts w:hint="eastAsia" w:ascii="宋体" w:hAnsi="宋体" w:cs="宋体"/>
          <w:bCs/>
          <w:sz w:val="24"/>
        </w:rPr>
        <w:t>（8）投标文件标注的响应或偏离情况与事实不符，或提供了虚假材料的；</w:t>
      </w:r>
    </w:p>
    <w:p>
      <w:pPr>
        <w:spacing w:line="360" w:lineRule="auto"/>
        <w:ind w:firstLine="480" w:firstLineChars="200"/>
        <w:rPr>
          <w:rFonts w:hint="eastAsia" w:ascii="宋体" w:hAnsi="宋体" w:cs="宋体"/>
          <w:bCs/>
          <w:sz w:val="24"/>
        </w:rPr>
      </w:pPr>
      <w:r>
        <w:rPr>
          <w:rFonts w:hint="eastAsia" w:ascii="宋体" w:hAnsi="宋体" w:cs="宋体"/>
          <w:bCs/>
          <w:sz w:val="24"/>
        </w:rPr>
        <w:t>（9）不响应或擅自改变本采购文件要求或投标文件有采购人不能接受的附加条件的；</w:t>
      </w:r>
    </w:p>
    <w:p>
      <w:pPr>
        <w:shd w:val="clear" w:color="auto" w:fill="FFFFFF"/>
        <w:autoSpaceDE w:val="0"/>
        <w:autoSpaceDN w:val="0"/>
        <w:snapToGrid w:val="0"/>
        <w:spacing w:line="360" w:lineRule="auto"/>
        <w:ind w:firstLine="480" w:firstLineChars="200"/>
        <w:rPr>
          <w:rFonts w:hint="eastAsia" w:ascii="宋体" w:hAnsi="宋体" w:cs="宋体"/>
          <w:bCs/>
          <w:sz w:val="24"/>
        </w:rPr>
      </w:pPr>
      <w:r>
        <w:rPr>
          <w:rFonts w:hint="eastAsia" w:ascii="宋体" w:hAnsi="宋体" w:cs="宋体"/>
          <w:bCs/>
          <w:sz w:val="24"/>
        </w:rPr>
        <w:t>（10）评审委员会认为供应商报价明显低于其他合格供应商的报价，有可能影响服务质量或者不能诚信履约的，应当要求其在合理时间内提供书面说明，必要时提供相关证明材料；供应商不能证明其报价合理性的，评审委员会应当将其作为无效投标或者无效响应处理；</w:t>
      </w:r>
    </w:p>
    <w:p>
      <w:pPr>
        <w:spacing w:line="360" w:lineRule="auto"/>
        <w:ind w:firstLine="480" w:firstLineChars="200"/>
        <w:rPr>
          <w:rFonts w:hint="eastAsia" w:ascii="宋体" w:hAnsi="宋体" w:cs="宋体"/>
          <w:bCs/>
          <w:kern w:val="0"/>
          <w:sz w:val="24"/>
        </w:rPr>
      </w:pPr>
      <w:r>
        <w:rPr>
          <w:rFonts w:hint="eastAsia" w:ascii="宋体" w:hAnsi="宋体" w:cs="宋体"/>
          <w:bCs/>
          <w:sz w:val="24"/>
        </w:rPr>
        <w:t>（11）违反国家或政府部门相关法律、法规、文件规定的。</w:t>
      </w:r>
    </w:p>
    <w:p>
      <w:pPr>
        <w:spacing w:line="360" w:lineRule="auto"/>
        <w:ind w:firstLine="482" w:firstLineChars="200"/>
        <w:rPr>
          <w:rFonts w:hint="eastAsia" w:ascii="宋体" w:hAnsi="宋体" w:cs="宋体"/>
          <w:b/>
          <w:sz w:val="24"/>
        </w:rPr>
      </w:pPr>
      <w:r>
        <w:rPr>
          <w:rFonts w:hint="eastAsia" w:ascii="宋体" w:hAnsi="宋体" w:cs="宋体"/>
          <w:b/>
          <w:sz w:val="24"/>
        </w:rPr>
        <w:t>（九）投标文件的评估、比较、评分</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评标委员会应当按照采购文件中规定的评审方法和标准，对符合性审查合格的投标文件进行商务资信和技术评估，综合比较与评价。评标时，评标委员会各成员将独立对每个供应商的投标文件进行评价，并汇总每个供应商的得分。评审细则详见第四部分“评标办法及评分标准”。</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对采购代理机构工作人员汇总的评审结果进行确认。如发现分值汇总计算错误、分项评分超出评分标准范围、客观评分不一致以及存在畸高、畸低（其总评分偏离平均分30%以上的）情形的，评审小组组长应提醒相关评审人员当场改正或书面说明理由，拒不改正又不作书面说明的，由现场监督员如实记载后存入项目档案资料。</w:t>
      </w:r>
    </w:p>
    <w:p>
      <w:pPr>
        <w:spacing w:line="360" w:lineRule="auto"/>
        <w:ind w:firstLine="482" w:firstLineChars="200"/>
        <w:rPr>
          <w:rFonts w:hint="eastAsia" w:ascii="宋体" w:hAnsi="宋体" w:cs="宋体"/>
          <w:b/>
          <w:sz w:val="24"/>
        </w:rPr>
      </w:pPr>
      <w:r>
        <w:rPr>
          <w:rFonts w:hint="eastAsia" w:ascii="宋体" w:hAnsi="宋体" w:cs="宋体"/>
          <w:b/>
          <w:sz w:val="24"/>
        </w:rPr>
        <w:t>（十）修改评审结果</w:t>
      </w:r>
    </w:p>
    <w:p>
      <w:pPr>
        <w:spacing w:line="360" w:lineRule="auto"/>
        <w:ind w:firstLine="482" w:firstLineChars="200"/>
        <w:rPr>
          <w:rFonts w:hint="eastAsia" w:ascii="宋体" w:hAnsi="宋体" w:cs="宋体"/>
          <w:b/>
          <w:sz w:val="24"/>
        </w:rPr>
      </w:pPr>
      <w:r>
        <w:rPr>
          <w:rFonts w:hint="eastAsia" w:ascii="宋体" w:hAnsi="宋体" w:cs="宋体"/>
          <w:b/>
          <w:sz w:val="24"/>
        </w:rPr>
        <w:t>1、评标结果汇总完成后，除下列情形外，任何人不得修改评标结果：</w:t>
      </w:r>
    </w:p>
    <w:p>
      <w:pPr>
        <w:spacing w:line="360" w:lineRule="auto"/>
        <w:ind w:firstLine="480" w:firstLineChars="200"/>
        <w:rPr>
          <w:rFonts w:hint="eastAsia" w:ascii="宋体" w:hAnsi="宋体" w:cs="宋体"/>
          <w:sz w:val="24"/>
        </w:rPr>
      </w:pPr>
      <w:r>
        <w:rPr>
          <w:rFonts w:hint="eastAsia" w:ascii="宋体" w:hAnsi="宋体" w:cs="宋体"/>
          <w:sz w:val="24"/>
        </w:rPr>
        <w:t>（1）分值汇总计算错误的；</w:t>
      </w:r>
    </w:p>
    <w:p>
      <w:pPr>
        <w:spacing w:line="360" w:lineRule="auto"/>
        <w:ind w:firstLine="480" w:firstLineChars="200"/>
        <w:rPr>
          <w:rFonts w:hint="eastAsia" w:ascii="宋体" w:hAnsi="宋体" w:cs="宋体"/>
          <w:sz w:val="24"/>
        </w:rPr>
      </w:pPr>
      <w:r>
        <w:rPr>
          <w:rFonts w:hint="eastAsia" w:ascii="宋体" w:hAnsi="宋体" w:cs="宋体"/>
          <w:sz w:val="24"/>
        </w:rPr>
        <w:t>（2）分项评分超出评分标准范围的；</w:t>
      </w:r>
    </w:p>
    <w:p>
      <w:pPr>
        <w:spacing w:line="360" w:lineRule="auto"/>
        <w:ind w:firstLine="480" w:firstLineChars="200"/>
        <w:rPr>
          <w:rFonts w:hint="eastAsia" w:ascii="宋体" w:hAnsi="宋体" w:cs="宋体"/>
          <w:sz w:val="24"/>
        </w:rPr>
      </w:pPr>
      <w:r>
        <w:rPr>
          <w:rFonts w:hint="eastAsia" w:ascii="宋体" w:hAnsi="宋体" w:cs="宋体"/>
          <w:sz w:val="24"/>
        </w:rPr>
        <w:t>（3）评标委员会成员对客观评审因素评分不一致的；</w:t>
      </w:r>
    </w:p>
    <w:p>
      <w:pPr>
        <w:spacing w:line="360" w:lineRule="auto"/>
        <w:ind w:firstLine="480" w:firstLineChars="200"/>
        <w:rPr>
          <w:rFonts w:hint="eastAsia" w:ascii="宋体" w:hAnsi="宋体" w:cs="宋体"/>
          <w:sz w:val="24"/>
        </w:rPr>
      </w:pPr>
      <w:r>
        <w:rPr>
          <w:rFonts w:hint="eastAsia" w:ascii="宋体" w:hAnsi="宋体" w:cs="宋体"/>
          <w:sz w:val="24"/>
        </w:rPr>
        <w:t>（4）经评标委员会认定评分畸高、畸低的。</w:t>
      </w:r>
    </w:p>
    <w:p>
      <w:pPr>
        <w:spacing w:line="360" w:lineRule="auto"/>
        <w:ind w:firstLine="482" w:firstLineChars="200"/>
        <w:rPr>
          <w:rFonts w:hint="eastAsia" w:ascii="宋体" w:hAnsi="宋体" w:cs="宋体"/>
          <w:b/>
          <w:sz w:val="24"/>
        </w:rPr>
      </w:pPr>
      <w:r>
        <w:rPr>
          <w:rFonts w:hint="eastAsia" w:ascii="宋体" w:hAnsi="宋体" w:cs="宋体"/>
          <w:b/>
          <w:sz w:val="24"/>
        </w:rPr>
        <w:t>2、评标报告签署前，经复核发现存在以上情形之一的，评标委员会将当场修改评标结果，并在评标报告中记载。</w:t>
      </w:r>
    </w:p>
    <w:p>
      <w:pPr>
        <w:spacing w:line="360" w:lineRule="auto"/>
        <w:ind w:firstLine="482" w:firstLineChars="200"/>
        <w:rPr>
          <w:rFonts w:hint="eastAsia" w:ascii="宋体" w:hAnsi="宋体" w:cs="宋体"/>
          <w:b/>
          <w:sz w:val="24"/>
        </w:rPr>
      </w:pPr>
      <w:r>
        <w:rPr>
          <w:rFonts w:hint="eastAsia" w:ascii="宋体" w:hAnsi="宋体" w:cs="宋体"/>
          <w:b/>
          <w:sz w:val="24"/>
        </w:rPr>
        <w:t>（十一）供应商排序及推荐中标候选供应商</w:t>
      </w:r>
    </w:p>
    <w:p>
      <w:pPr>
        <w:spacing w:line="360" w:lineRule="auto"/>
        <w:ind w:firstLine="482" w:firstLineChars="200"/>
        <w:rPr>
          <w:rFonts w:hint="eastAsia" w:ascii="宋体" w:hAnsi="宋体" w:cs="宋体"/>
          <w:b/>
          <w:sz w:val="24"/>
        </w:rPr>
      </w:pPr>
      <w:r>
        <w:rPr>
          <w:rFonts w:hint="eastAsia" w:ascii="宋体" w:hAnsi="宋体" w:cs="宋体"/>
          <w:b/>
          <w:sz w:val="24"/>
        </w:rPr>
        <w:t>评标委员会根据以下规定确定供应商排名并推荐中标候选供应商。</w:t>
      </w:r>
    </w:p>
    <w:p>
      <w:pPr>
        <w:spacing w:line="360" w:lineRule="auto"/>
        <w:ind w:firstLine="482" w:firstLineChars="200"/>
        <w:rPr>
          <w:rFonts w:hint="eastAsia" w:ascii="宋体" w:hAnsi="宋体" w:cs="宋体"/>
          <w:kern w:val="0"/>
          <w:sz w:val="24"/>
        </w:rPr>
      </w:pPr>
      <w:r>
        <w:rPr>
          <w:rFonts w:hint="eastAsia" w:ascii="宋体" w:hAnsi="宋体" w:cs="宋体"/>
          <w:b/>
          <w:sz w:val="24"/>
        </w:rPr>
        <w:t>1、评标委员会根据各供应商的综合得分（商务资信技术分与报价得分之和）从高到低依次进行排名排序。特殊情形按以下原则处理：</w:t>
      </w:r>
    </w:p>
    <w:p>
      <w:pPr>
        <w:spacing w:line="360" w:lineRule="auto"/>
        <w:ind w:firstLine="480" w:firstLineChars="200"/>
        <w:rPr>
          <w:rFonts w:hint="eastAsia" w:ascii="宋体" w:hAnsi="宋体" w:cs="宋体"/>
          <w:sz w:val="24"/>
        </w:rPr>
      </w:pPr>
      <w:r>
        <w:rPr>
          <w:rFonts w:hint="eastAsia" w:ascii="宋体" w:hAnsi="宋体" w:cs="宋体"/>
          <w:sz w:val="24"/>
        </w:rPr>
        <w:t>（1）综合得分相同的，按投标报价低的优先原则确定排名；</w:t>
      </w:r>
    </w:p>
    <w:p>
      <w:pPr>
        <w:spacing w:line="360" w:lineRule="auto"/>
        <w:ind w:firstLine="480" w:firstLineChars="200"/>
        <w:rPr>
          <w:rFonts w:hint="eastAsia" w:ascii="宋体" w:hAnsi="宋体" w:cs="宋体"/>
          <w:sz w:val="24"/>
        </w:rPr>
      </w:pPr>
      <w:r>
        <w:rPr>
          <w:rFonts w:hint="eastAsia" w:ascii="宋体" w:hAnsi="宋体" w:cs="宋体"/>
          <w:sz w:val="24"/>
        </w:rPr>
        <w:t>（2）综合得分和投标报价均相同的，按技术得分从高到低确定排名；</w:t>
      </w:r>
    </w:p>
    <w:p>
      <w:pPr>
        <w:spacing w:line="360" w:lineRule="auto"/>
        <w:ind w:firstLine="482" w:firstLineChars="200"/>
        <w:rPr>
          <w:rFonts w:hint="eastAsia" w:ascii="宋体" w:hAnsi="宋体" w:cs="宋体"/>
          <w:b/>
          <w:sz w:val="24"/>
        </w:rPr>
      </w:pPr>
      <w:r>
        <w:rPr>
          <w:rFonts w:hint="eastAsia" w:ascii="宋体" w:hAnsi="宋体" w:cs="宋体"/>
          <w:b/>
          <w:sz w:val="24"/>
        </w:rPr>
        <w:t>2、根据最终得分排序，通过书面评审报告的形式，向采购人推荐</w:t>
      </w:r>
      <w:r>
        <w:rPr>
          <w:rFonts w:hint="eastAsia" w:ascii="宋体" w:hAnsi="宋体" w:cs="宋体"/>
          <w:b/>
          <w:kern w:val="0"/>
          <w:sz w:val="24"/>
        </w:rPr>
        <w:t>排名第一的供应商为中标人</w:t>
      </w:r>
      <w:r>
        <w:rPr>
          <w:rFonts w:hint="eastAsia" w:ascii="宋体" w:hAnsi="宋体" w:cs="宋体"/>
          <w:b/>
          <w:sz w:val="24"/>
        </w:rPr>
        <w:t>。</w:t>
      </w:r>
    </w:p>
    <w:p>
      <w:pPr>
        <w:spacing w:line="360" w:lineRule="auto"/>
        <w:ind w:firstLine="482" w:firstLineChars="200"/>
        <w:rPr>
          <w:rFonts w:hint="eastAsia" w:ascii="宋体" w:hAnsi="宋体" w:cs="宋体"/>
          <w:b/>
          <w:sz w:val="24"/>
        </w:rPr>
      </w:pPr>
      <w:r>
        <w:rPr>
          <w:rFonts w:hint="eastAsia" w:ascii="宋体" w:hAnsi="宋体" w:cs="宋体"/>
          <w:b/>
          <w:sz w:val="24"/>
        </w:rPr>
        <w:t>（十二）起草、签署评审报告</w:t>
      </w:r>
    </w:p>
    <w:p>
      <w:pPr>
        <w:autoSpaceDE w:val="0"/>
        <w:autoSpaceDN w:val="0"/>
        <w:spacing w:line="360" w:lineRule="auto"/>
        <w:ind w:firstLine="480" w:firstLineChars="200"/>
        <w:rPr>
          <w:rFonts w:hint="eastAsia" w:ascii="宋体" w:hAnsi="宋体" w:cs="宋体"/>
          <w:sz w:val="24"/>
        </w:rPr>
      </w:pPr>
      <w:r>
        <w:rPr>
          <w:rFonts w:hint="eastAsia" w:ascii="宋体" w:hAnsi="宋体" w:cs="宋体"/>
          <w:sz w:val="24"/>
        </w:rPr>
        <w:t>评审结束后，评标委员会将通过“政府采购云平台”起草评审报告，评标委员会成员应当在评审报告上签字，对自己的评审意见承担法律责任。对评审报告有异议的，应当在评审报告上签署不同意见，并说明理由，否则视为同意评审报告。</w:t>
      </w:r>
    </w:p>
    <w:p>
      <w:pPr>
        <w:pStyle w:val="254"/>
        <w:spacing w:before="0"/>
        <w:ind w:firstLine="482"/>
        <w:outlineLvl w:val="0"/>
        <w:rPr>
          <w:rFonts w:hint="eastAsia" w:ascii="宋体" w:hAnsi="宋体" w:cs="宋体"/>
          <w:b/>
          <w:color w:val="000000"/>
          <w:szCs w:val="24"/>
        </w:rPr>
      </w:pPr>
      <w:r>
        <w:rPr>
          <w:rFonts w:hint="eastAsia" w:ascii="宋体" w:hAnsi="宋体" w:cs="宋体"/>
          <w:b/>
          <w:color w:val="000000"/>
          <w:szCs w:val="24"/>
        </w:rPr>
        <w:t>（十三） 评标内容的澄清与保密</w:t>
      </w:r>
    </w:p>
    <w:p>
      <w:pPr>
        <w:pStyle w:val="254"/>
        <w:spacing w:before="0"/>
        <w:ind w:firstLine="480"/>
        <w:rPr>
          <w:rFonts w:hint="eastAsia" w:ascii="宋体" w:hAnsi="宋体" w:cs="宋体"/>
          <w:color w:val="000000"/>
          <w:szCs w:val="24"/>
        </w:rPr>
      </w:pPr>
      <w:r>
        <w:rPr>
          <w:rFonts w:hint="eastAsia" w:ascii="宋体" w:hAnsi="宋体" w:cs="宋体"/>
          <w:color w:val="000000"/>
          <w:szCs w:val="24"/>
        </w:rPr>
        <w:t>1、公开开标后，直到宣布中标人止，凡属于审查、澄清、评价和比较投标的所有资料，都不应向供应商或与评标无关的其他人泄露。</w:t>
      </w:r>
    </w:p>
    <w:p>
      <w:pPr>
        <w:pStyle w:val="254"/>
        <w:spacing w:before="0"/>
        <w:ind w:firstLine="480"/>
        <w:rPr>
          <w:rFonts w:hint="eastAsia" w:ascii="宋体" w:hAnsi="宋体" w:cs="宋体"/>
          <w:color w:val="000000"/>
          <w:szCs w:val="24"/>
        </w:rPr>
      </w:pPr>
      <w:r>
        <w:rPr>
          <w:rFonts w:hint="eastAsia" w:ascii="宋体" w:hAnsi="宋体" w:cs="宋体"/>
          <w:color w:val="000000"/>
          <w:szCs w:val="24"/>
        </w:rPr>
        <w:t>2、在投标文件的审查、澄清、评价和比较以及确定中标人过程中，供应商对采购人和评标机构施加影响的任何行为，都将导致取消资格。</w:t>
      </w:r>
    </w:p>
    <w:p>
      <w:pPr>
        <w:pStyle w:val="254"/>
        <w:spacing w:before="0"/>
        <w:ind w:firstLine="482"/>
        <w:outlineLvl w:val="2"/>
        <w:rPr>
          <w:rFonts w:hint="eastAsia" w:ascii="宋体" w:hAnsi="宋体" w:cs="宋体"/>
          <w:b/>
          <w:color w:val="000000"/>
          <w:szCs w:val="24"/>
        </w:rPr>
      </w:pPr>
      <w:r>
        <w:rPr>
          <w:rFonts w:hint="eastAsia" w:ascii="宋体" w:hAnsi="宋体" w:cs="宋体"/>
          <w:b/>
          <w:color w:val="000000"/>
          <w:szCs w:val="24"/>
        </w:rPr>
        <w:t xml:space="preserve">（十四）供应商有下列情形之一的，视为供应商串通投标，其投标无效： </w:t>
      </w:r>
    </w:p>
    <w:p>
      <w:pPr>
        <w:pStyle w:val="23"/>
        <w:snapToGrid w:val="0"/>
        <w:spacing w:line="360" w:lineRule="auto"/>
        <w:rPr>
          <w:rFonts w:hint="eastAsia" w:cs="宋体"/>
        </w:rPr>
      </w:pPr>
      <w:r>
        <w:rPr>
          <w:rFonts w:hint="eastAsia" w:cs="宋体"/>
          <w:lang w:val="en-US" w:eastAsia="zh-CN"/>
        </w:rPr>
        <w:t xml:space="preserve">（1）不同供应商的投标（响应）文件由同一单位或者个人编制； </w:t>
      </w:r>
    </w:p>
    <w:p>
      <w:pPr>
        <w:pStyle w:val="23"/>
        <w:snapToGrid w:val="0"/>
        <w:spacing w:line="360" w:lineRule="auto"/>
        <w:rPr>
          <w:rFonts w:hint="eastAsia" w:cs="宋体"/>
        </w:rPr>
      </w:pPr>
      <w:r>
        <w:rPr>
          <w:rFonts w:hint="eastAsia" w:cs="宋体"/>
          <w:lang w:val="en-US" w:eastAsia="zh-CN"/>
        </w:rPr>
        <w:t xml:space="preserve">（2）不同供应商委托同一单位或者个人办理投标事宜； </w:t>
      </w:r>
    </w:p>
    <w:p>
      <w:pPr>
        <w:pStyle w:val="23"/>
        <w:snapToGrid w:val="0"/>
        <w:spacing w:line="360" w:lineRule="auto"/>
        <w:rPr>
          <w:rFonts w:hint="eastAsia" w:cs="宋体"/>
        </w:rPr>
      </w:pPr>
      <w:r>
        <w:rPr>
          <w:rFonts w:hint="eastAsia" w:cs="宋体"/>
          <w:lang w:val="en-US" w:eastAsia="zh-CN"/>
        </w:rPr>
        <w:t>（3）不同供应商的投标文件或响应文件载明的项目管理成员或者联系人员为同一人；</w:t>
      </w:r>
    </w:p>
    <w:p>
      <w:pPr>
        <w:pStyle w:val="23"/>
        <w:snapToGrid w:val="0"/>
        <w:spacing w:line="360" w:lineRule="auto"/>
        <w:rPr>
          <w:rFonts w:hint="eastAsia" w:cs="宋体"/>
        </w:rPr>
      </w:pPr>
      <w:r>
        <w:rPr>
          <w:rFonts w:hint="eastAsia" w:cs="宋体"/>
          <w:lang w:val="en-US" w:eastAsia="zh-CN"/>
        </w:rPr>
        <w:t xml:space="preserve">（4）不同供应商的投标（响应）文件件异常一致或者投标报价呈规律性差异； </w:t>
      </w:r>
    </w:p>
    <w:p>
      <w:pPr>
        <w:pStyle w:val="23"/>
        <w:snapToGrid w:val="0"/>
        <w:spacing w:line="360" w:lineRule="auto"/>
        <w:rPr>
          <w:rFonts w:hint="eastAsia" w:cs="宋体"/>
        </w:rPr>
      </w:pPr>
      <w:r>
        <w:rPr>
          <w:rFonts w:hint="eastAsia" w:cs="宋体"/>
          <w:lang w:val="en-US" w:eastAsia="zh-CN"/>
        </w:rPr>
        <w:t>（5）不同供应商的投标（响应）文件相互混装。</w:t>
      </w:r>
    </w:p>
    <w:p>
      <w:pPr>
        <w:pStyle w:val="254"/>
        <w:spacing w:before="0"/>
        <w:ind w:firstLine="482"/>
        <w:outlineLvl w:val="2"/>
        <w:rPr>
          <w:rFonts w:hint="eastAsia" w:ascii="宋体" w:hAnsi="宋体" w:cs="宋体"/>
          <w:b/>
          <w:color w:val="000000"/>
          <w:szCs w:val="24"/>
        </w:rPr>
      </w:pPr>
      <w:r>
        <w:rPr>
          <w:rFonts w:hint="eastAsia" w:ascii="宋体" w:hAnsi="宋体" w:cs="宋体"/>
          <w:b/>
          <w:color w:val="000000"/>
          <w:szCs w:val="24"/>
        </w:rPr>
        <w:t xml:space="preserve">（十五）供应商有下列情形之一的，属于恶意串通，其投标无效： </w:t>
      </w:r>
    </w:p>
    <w:p>
      <w:pPr>
        <w:pStyle w:val="23"/>
        <w:snapToGrid w:val="0"/>
        <w:spacing w:line="360" w:lineRule="auto"/>
        <w:ind w:left="239" w:leftChars="114" w:firstLine="240" w:firstLineChars="100"/>
        <w:rPr>
          <w:rFonts w:hint="eastAsia" w:cs="宋体"/>
          <w:lang w:val="en-US" w:eastAsia="zh-CN"/>
        </w:rPr>
      </w:pPr>
      <w:r>
        <w:rPr>
          <w:rFonts w:hint="eastAsia" w:cs="宋体"/>
          <w:lang w:val="en-US" w:eastAsia="zh-CN"/>
        </w:rPr>
        <w:t>(1)投标人之间协商投标报价等投标文件的实质性内容;</w:t>
      </w:r>
    </w:p>
    <w:p>
      <w:pPr>
        <w:pStyle w:val="23"/>
        <w:snapToGrid w:val="0"/>
        <w:spacing w:line="360" w:lineRule="auto"/>
        <w:ind w:left="239" w:leftChars="114" w:firstLine="240" w:firstLineChars="100"/>
        <w:rPr>
          <w:rFonts w:hint="eastAsia" w:cs="宋体"/>
          <w:lang w:val="en-US" w:eastAsia="zh-CN"/>
        </w:rPr>
      </w:pPr>
      <w:r>
        <w:rPr>
          <w:rFonts w:hint="eastAsia" w:cs="宋体"/>
          <w:lang w:val="en-US" w:eastAsia="zh-CN"/>
        </w:rPr>
        <w:t>(2)投标人之间约定中标人;</w:t>
      </w:r>
    </w:p>
    <w:p>
      <w:pPr>
        <w:pStyle w:val="23"/>
        <w:snapToGrid w:val="0"/>
        <w:spacing w:line="360" w:lineRule="auto"/>
        <w:ind w:left="239" w:leftChars="114" w:firstLine="240" w:firstLineChars="100"/>
        <w:rPr>
          <w:rFonts w:hint="eastAsia" w:cs="宋体"/>
          <w:lang w:val="en-US" w:eastAsia="zh-CN"/>
        </w:rPr>
      </w:pPr>
      <w:r>
        <w:rPr>
          <w:rFonts w:hint="eastAsia" w:cs="宋体"/>
          <w:lang w:val="en-US" w:eastAsia="zh-CN"/>
        </w:rPr>
        <w:t>(3)投标人之间约定部分投标人放弃投标或者中标;</w:t>
      </w:r>
    </w:p>
    <w:p>
      <w:pPr>
        <w:pStyle w:val="23"/>
        <w:snapToGrid w:val="0"/>
        <w:spacing w:line="360" w:lineRule="auto"/>
        <w:ind w:left="239" w:leftChars="114" w:firstLine="240" w:firstLineChars="100"/>
        <w:rPr>
          <w:rFonts w:hint="eastAsia" w:cs="宋体"/>
          <w:lang w:val="en-US" w:eastAsia="zh-CN"/>
        </w:rPr>
      </w:pPr>
      <w:r>
        <w:rPr>
          <w:rFonts w:hint="eastAsia" w:cs="宋体"/>
          <w:lang w:val="en-US" w:eastAsia="zh-CN"/>
        </w:rPr>
        <w:t>(4)属于同一集团、协会、商会等组织成员的投标人按照该组织要求协同投标;</w:t>
      </w:r>
    </w:p>
    <w:p>
      <w:pPr>
        <w:pStyle w:val="23"/>
        <w:snapToGrid w:val="0"/>
        <w:spacing w:line="360" w:lineRule="auto"/>
        <w:ind w:left="239" w:leftChars="114" w:firstLine="240" w:firstLineChars="100"/>
        <w:rPr>
          <w:rFonts w:hint="eastAsia" w:cs="宋体"/>
          <w:lang w:val="en-US" w:eastAsia="zh-CN"/>
        </w:rPr>
      </w:pPr>
      <w:r>
        <w:rPr>
          <w:rFonts w:hint="eastAsia" w:cs="宋体"/>
          <w:lang w:val="en-US" w:eastAsia="zh-CN"/>
        </w:rPr>
        <w:t>(5)投标人之间为谋取中标或者排斥特定投标人而采取的其他联合行动。</w:t>
      </w:r>
    </w:p>
    <w:p>
      <w:pPr>
        <w:pStyle w:val="254"/>
        <w:spacing w:before="0"/>
        <w:ind w:firstLine="482"/>
        <w:outlineLvl w:val="2"/>
        <w:rPr>
          <w:rFonts w:hint="eastAsia" w:ascii="宋体" w:hAnsi="宋体" w:cs="宋体"/>
          <w:b/>
          <w:color w:val="000000"/>
          <w:szCs w:val="24"/>
        </w:rPr>
      </w:pPr>
      <w:r>
        <w:rPr>
          <w:rFonts w:hint="eastAsia" w:ascii="宋体" w:hAnsi="宋体" w:cs="宋体"/>
          <w:b/>
          <w:color w:val="000000"/>
          <w:szCs w:val="24"/>
        </w:rPr>
        <w:t>（十六）废标</w:t>
      </w:r>
    </w:p>
    <w:p>
      <w:pPr>
        <w:pStyle w:val="23"/>
        <w:snapToGrid w:val="0"/>
        <w:spacing w:line="360" w:lineRule="auto"/>
        <w:rPr>
          <w:rFonts w:hint="eastAsia" w:cs="宋体"/>
        </w:rPr>
      </w:pPr>
      <w:r>
        <w:rPr>
          <w:rFonts w:hint="eastAsia" w:cs="宋体"/>
        </w:rPr>
        <w:t>在采购中，出现下列情形之一的，应予废标：</w:t>
      </w:r>
    </w:p>
    <w:p>
      <w:pPr>
        <w:pStyle w:val="23"/>
        <w:snapToGrid w:val="0"/>
        <w:spacing w:line="360" w:lineRule="auto"/>
        <w:rPr>
          <w:rFonts w:hint="eastAsia" w:cs="宋体"/>
        </w:rPr>
      </w:pPr>
      <w:r>
        <w:rPr>
          <w:rFonts w:hint="eastAsia" w:cs="宋体"/>
        </w:rPr>
        <w:t>(1)符合专业条件的供应商或者对采购文件作实质响应的供应商不足3家的；</w:t>
      </w:r>
    </w:p>
    <w:p>
      <w:pPr>
        <w:pStyle w:val="23"/>
        <w:snapToGrid w:val="0"/>
        <w:spacing w:line="360" w:lineRule="auto"/>
        <w:rPr>
          <w:rFonts w:hint="eastAsia" w:cs="宋体"/>
        </w:rPr>
      </w:pPr>
      <w:r>
        <w:rPr>
          <w:rFonts w:hint="eastAsia" w:cs="宋体"/>
        </w:rPr>
        <w:t>(2)出现影响采购公正的违法、违规行为的；</w:t>
      </w:r>
    </w:p>
    <w:p>
      <w:pPr>
        <w:pStyle w:val="23"/>
        <w:snapToGrid w:val="0"/>
        <w:spacing w:line="360" w:lineRule="auto"/>
        <w:rPr>
          <w:rFonts w:hint="eastAsia" w:cs="宋体"/>
        </w:rPr>
      </w:pPr>
      <w:r>
        <w:rPr>
          <w:rFonts w:hint="eastAsia" w:cs="宋体"/>
        </w:rPr>
        <w:t>(3)报价均超过预算，不能支付的；</w:t>
      </w:r>
    </w:p>
    <w:p>
      <w:pPr>
        <w:shd w:val="clear" w:color="auto" w:fill="FFFFFF"/>
        <w:snapToGrid w:val="0"/>
        <w:spacing w:line="360" w:lineRule="auto"/>
        <w:ind w:firstLine="480" w:firstLineChars="200"/>
        <w:rPr>
          <w:rFonts w:hint="eastAsia" w:ascii="宋体" w:hAnsi="宋体" w:cs="宋体"/>
          <w:bCs/>
          <w:sz w:val="24"/>
        </w:rPr>
      </w:pPr>
      <w:r>
        <w:rPr>
          <w:rFonts w:hint="eastAsia" w:ascii="宋体" w:hAnsi="宋体" w:cs="宋体"/>
          <w:sz w:val="24"/>
        </w:rPr>
        <w:t>(4)因重大变故，采购任务取消的。</w:t>
      </w:r>
    </w:p>
    <w:p>
      <w:pPr>
        <w:pStyle w:val="254"/>
        <w:spacing w:before="0"/>
        <w:ind w:firstLine="482"/>
        <w:outlineLvl w:val="2"/>
        <w:rPr>
          <w:rFonts w:hint="eastAsia" w:ascii="宋体" w:hAnsi="宋体" w:cs="宋体"/>
          <w:b/>
          <w:color w:val="000000"/>
          <w:szCs w:val="24"/>
        </w:rPr>
      </w:pPr>
      <w:r>
        <w:rPr>
          <w:rFonts w:hint="eastAsia" w:ascii="宋体" w:hAnsi="宋体" w:cs="宋体"/>
          <w:b/>
          <w:color w:val="000000"/>
          <w:szCs w:val="24"/>
        </w:rPr>
        <w:t>（十七）可中止电子交易活动的情形</w:t>
      </w:r>
    </w:p>
    <w:p>
      <w:pPr>
        <w:spacing w:line="360" w:lineRule="auto"/>
        <w:ind w:firstLine="482" w:firstLineChars="200"/>
        <w:rPr>
          <w:rFonts w:hint="eastAsia" w:ascii="宋体" w:hAnsi="宋体" w:cs="宋体"/>
          <w:sz w:val="24"/>
        </w:rPr>
      </w:pPr>
      <w:r>
        <w:rPr>
          <w:rFonts w:hint="eastAsia" w:ascii="宋体" w:hAnsi="宋体" w:cs="宋体"/>
          <w:b/>
          <w:sz w:val="24"/>
        </w:rPr>
        <w:t>采购过程中出现以下情形，导致电子交易平台无法正常运行，或者无法保证电子交易的公平、公正和安全时，采购代理机构可中止电子交易活动：</w:t>
      </w:r>
    </w:p>
    <w:p>
      <w:pPr>
        <w:spacing w:line="360" w:lineRule="auto"/>
        <w:ind w:firstLine="480" w:firstLineChars="200"/>
        <w:rPr>
          <w:rFonts w:hint="eastAsia" w:ascii="宋体" w:hAnsi="宋体" w:cs="宋体"/>
          <w:sz w:val="24"/>
        </w:rPr>
      </w:pPr>
      <w:r>
        <w:rPr>
          <w:rFonts w:hint="eastAsia" w:ascii="宋体" w:hAnsi="宋体" w:cs="宋体"/>
          <w:sz w:val="24"/>
        </w:rPr>
        <w:t>（1）电子交易平台发生故障而无法登录访问的；</w:t>
      </w:r>
    </w:p>
    <w:p>
      <w:pPr>
        <w:spacing w:line="360" w:lineRule="auto"/>
        <w:ind w:firstLine="480" w:firstLineChars="200"/>
        <w:rPr>
          <w:rFonts w:hint="eastAsia" w:ascii="宋体" w:hAnsi="宋体" w:cs="宋体"/>
          <w:sz w:val="24"/>
        </w:rPr>
      </w:pPr>
      <w:r>
        <w:rPr>
          <w:rFonts w:hint="eastAsia" w:ascii="宋体" w:hAnsi="宋体" w:cs="宋体"/>
          <w:sz w:val="24"/>
        </w:rPr>
        <w:t>（2）电子交易平台应用或数据库出现错误，不能进行正常操作的；</w:t>
      </w:r>
    </w:p>
    <w:p>
      <w:pPr>
        <w:spacing w:line="360" w:lineRule="auto"/>
        <w:ind w:firstLine="480" w:firstLineChars="200"/>
        <w:rPr>
          <w:rFonts w:hint="eastAsia" w:ascii="宋体" w:hAnsi="宋体" w:cs="宋体"/>
          <w:sz w:val="24"/>
        </w:rPr>
      </w:pPr>
      <w:r>
        <w:rPr>
          <w:rFonts w:hint="eastAsia" w:ascii="宋体" w:hAnsi="宋体" w:cs="宋体"/>
          <w:sz w:val="24"/>
        </w:rPr>
        <w:t>（3）电子交易平台发现严重安全漏洞，有潜在泄密危险的；</w:t>
      </w:r>
    </w:p>
    <w:p>
      <w:pPr>
        <w:spacing w:line="360" w:lineRule="auto"/>
        <w:ind w:firstLine="480" w:firstLineChars="200"/>
        <w:rPr>
          <w:rFonts w:hint="eastAsia" w:ascii="宋体" w:hAnsi="宋体" w:cs="宋体"/>
          <w:sz w:val="24"/>
        </w:rPr>
      </w:pPr>
      <w:r>
        <w:rPr>
          <w:rFonts w:hint="eastAsia" w:ascii="宋体" w:hAnsi="宋体" w:cs="宋体"/>
          <w:sz w:val="24"/>
        </w:rPr>
        <w:t>（4）病毒发作导致不能进行正常操作的；</w:t>
      </w:r>
    </w:p>
    <w:p>
      <w:pPr>
        <w:spacing w:line="360" w:lineRule="auto"/>
        <w:ind w:firstLine="480" w:firstLineChars="200"/>
        <w:rPr>
          <w:rFonts w:hint="eastAsia" w:ascii="宋体" w:hAnsi="宋体" w:cs="宋体"/>
          <w:sz w:val="24"/>
        </w:rPr>
      </w:pPr>
      <w:r>
        <w:rPr>
          <w:rFonts w:hint="eastAsia" w:ascii="宋体" w:hAnsi="宋体" w:cs="宋体"/>
          <w:sz w:val="24"/>
        </w:rPr>
        <w:t>（5）其他无法保证电子交易的公平、公正和安全的情况。</w:t>
      </w:r>
    </w:p>
    <w:p>
      <w:pPr>
        <w:spacing w:line="360" w:lineRule="auto"/>
        <w:ind w:firstLine="482" w:firstLineChars="200"/>
        <w:rPr>
          <w:rFonts w:hint="eastAsia" w:ascii="宋体" w:hAnsi="宋体" w:cs="宋体"/>
          <w:sz w:val="24"/>
        </w:rPr>
      </w:pPr>
      <w:r>
        <w:rPr>
          <w:rFonts w:hint="eastAsia" w:ascii="宋体" w:hAnsi="宋体" w:cs="宋体"/>
          <w:b/>
          <w:sz w:val="24"/>
        </w:rPr>
        <w:t>出现以上规定的情形，如果不影响采购公平、公正性的，采购代理机构可以待上述情形消除后继续组织电子交易活动；如果影响或可能影响采购公平、公正性的，应当重新采购。</w:t>
      </w:r>
    </w:p>
    <w:p>
      <w:pPr>
        <w:spacing w:line="360" w:lineRule="auto"/>
        <w:jc w:val="center"/>
        <w:rPr>
          <w:rFonts w:hint="eastAsia" w:ascii="宋体" w:hAnsi="宋体" w:cs="宋体"/>
          <w:b/>
          <w:sz w:val="24"/>
        </w:rPr>
      </w:pPr>
      <w:r>
        <w:rPr>
          <w:rFonts w:hint="eastAsia" w:ascii="宋体" w:hAnsi="宋体" w:cs="宋体"/>
          <w:b/>
          <w:sz w:val="24"/>
        </w:rPr>
        <w:t>七、定标</w:t>
      </w:r>
    </w:p>
    <w:p>
      <w:pPr>
        <w:pStyle w:val="23"/>
        <w:spacing w:line="360" w:lineRule="auto"/>
        <w:ind w:firstLine="0" w:firstLineChars="0"/>
        <w:outlineLvl w:val="2"/>
        <w:rPr>
          <w:rFonts w:hint="eastAsia" w:cs="宋体"/>
          <w:b/>
        </w:rPr>
      </w:pPr>
      <w:r>
        <w:rPr>
          <w:rFonts w:hint="eastAsia" w:cs="宋体"/>
          <w:b/>
        </w:rPr>
        <w:t>27</w:t>
      </w:r>
      <w:r>
        <w:rPr>
          <w:rFonts w:hint="eastAsia" w:cs="宋体"/>
          <w:b/>
          <w:color w:val="000000"/>
          <w:kern w:val="0"/>
        </w:rPr>
        <w:t>．</w:t>
      </w:r>
      <w:r>
        <w:rPr>
          <w:rFonts w:hint="eastAsia" w:cs="宋体"/>
          <w:b/>
        </w:rPr>
        <w:t>定标</w:t>
      </w:r>
    </w:p>
    <w:p>
      <w:pPr>
        <w:shd w:val="clear" w:color="auto" w:fill="FFFFFF"/>
        <w:snapToGrid w:val="0"/>
        <w:spacing w:line="360" w:lineRule="auto"/>
        <w:ind w:firstLine="480" w:firstLineChars="200"/>
        <w:rPr>
          <w:rFonts w:hint="eastAsia" w:ascii="宋体" w:hAnsi="宋体" w:cs="宋体"/>
          <w:sz w:val="24"/>
        </w:rPr>
      </w:pPr>
      <w:bookmarkStart w:id="21" w:name="_Hlt75236103"/>
      <w:bookmarkEnd w:id="21"/>
      <w:r>
        <w:rPr>
          <w:rFonts w:hint="eastAsia" w:ascii="宋体" w:hAnsi="宋体" w:cs="宋体"/>
          <w:sz w:val="24"/>
        </w:rPr>
        <w:t>27.1确定中标人后，采购代理机构将在发布招标公告的网站上公布评标结果。</w:t>
      </w:r>
    </w:p>
    <w:p>
      <w:pPr>
        <w:shd w:val="clear" w:color="auto" w:fill="FFFFFF"/>
        <w:tabs>
          <w:tab w:val="left" w:pos="0"/>
        </w:tabs>
        <w:snapToGrid w:val="0"/>
        <w:spacing w:line="360" w:lineRule="auto"/>
        <w:ind w:firstLine="480" w:firstLineChars="200"/>
        <w:rPr>
          <w:rFonts w:hint="eastAsia" w:ascii="宋体" w:hAnsi="宋体" w:cs="宋体"/>
          <w:sz w:val="24"/>
        </w:rPr>
      </w:pPr>
      <w:r>
        <w:rPr>
          <w:rFonts w:hint="eastAsia" w:ascii="宋体" w:hAnsi="宋体" w:cs="宋体"/>
          <w:sz w:val="24"/>
        </w:rPr>
        <w:t>27.2如中标人拒绝承担中标的项目，或提出采购人不能接受的条件，致使合同无法签订，采购人将取消其中标资格，并根据评标委员会推荐的中标候选人先后顺序，将下一顺序的中标候选人作为中标人进行公示，或由采购人组织评标委员会复议后提出重新组织采购等建议。</w:t>
      </w:r>
    </w:p>
    <w:p>
      <w:pPr>
        <w:spacing w:line="360" w:lineRule="auto"/>
        <w:ind w:firstLine="480" w:firstLineChars="200"/>
        <w:jc w:val="left"/>
        <w:outlineLvl w:val="1"/>
        <w:rPr>
          <w:rFonts w:hint="eastAsia" w:ascii="宋体" w:hAnsi="宋体" w:cs="宋体"/>
          <w:sz w:val="24"/>
        </w:rPr>
      </w:pPr>
      <w:r>
        <w:rPr>
          <w:rFonts w:hint="eastAsia" w:ascii="宋体" w:hAnsi="宋体" w:cs="宋体"/>
          <w:sz w:val="24"/>
        </w:rPr>
        <w:t>27.3如签订合同并生效后，供应商无故拒绝或延期，除按照合同条款处罚外，并上报同级财政监督部门。</w:t>
      </w:r>
    </w:p>
    <w:p>
      <w:pPr>
        <w:snapToGrid w:val="0"/>
        <w:spacing w:line="360" w:lineRule="auto"/>
        <w:ind w:firstLine="480" w:firstLineChars="200"/>
        <w:rPr>
          <w:rFonts w:hint="eastAsia" w:ascii="宋体" w:hAnsi="宋体" w:cs="宋体"/>
          <w:sz w:val="24"/>
        </w:rPr>
      </w:pPr>
      <w:r>
        <w:rPr>
          <w:rFonts w:hint="eastAsia" w:ascii="宋体" w:hAnsi="宋体" w:cs="宋体"/>
          <w:sz w:val="24"/>
        </w:rPr>
        <w:t>27.4排名第一的中标候选人为中标人。排名第一的中标人放弃中标、因不可抗力提出不能履行合同，或者采购文件规定应当提交履约保证金而在规定的期限内未能提交的，采购人可以确定排名第二的中标候选人为中标人或重新招标。</w:t>
      </w:r>
    </w:p>
    <w:p>
      <w:pPr>
        <w:spacing w:line="360" w:lineRule="auto"/>
        <w:ind w:firstLine="480" w:firstLineChars="200"/>
        <w:rPr>
          <w:rFonts w:hint="eastAsia" w:ascii="宋体" w:hAnsi="宋体" w:cs="宋体"/>
          <w:sz w:val="24"/>
        </w:rPr>
      </w:pPr>
      <w:r>
        <w:rPr>
          <w:rFonts w:hint="eastAsia" w:ascii="宋体" w:hAnsi="宋体" w:cs="宋体"/>
          <w:sz w:val="24"/>
        </w:rPr>
        <w:t>27.5供应商必须确保所供服务能满足采购人的需要，如所供服务与投标文件不符，存在严重差异的，将按弄虚作假处理，废除其中标资格，并上报同级财政监督部门进行处理。</w:t>
      </w:r>
    </w:p>
    <w:p>
      <w:pPr>
        <w:autoSpaceDE w:val="0"/>
        <w:autoSpaceDN w:val="0"/>
        <w:spacing w:line="360" w:lineRule="auto"/>
        <w:jc w:val="center"/>
        <w:rPr>
          <w:rFonts w:hint="eastAsia" w:ascii="宋体" w:hAnsi="宋体" w:cs="宋体"/>
          <w:b/>
          <w:sz w:val="24"/>
        </w:rPr>
      </w:pPr>
      <w:r>
        <w:rPr>
          <w:rFonts w:hint="eastAsia" w:ascii="宋体" w:hAnsi="宋体" w:cs="宋体"/>
          <w:b/>
          <w:sz w:val="24"/>
        </w:rPr>
        <w:t>八、合同签订及其他</w:t>
      </w:r>
    </w:p>
    <w:p>
      <w:pPr>
        <w:pStyle w:val="23"/>
        <w:spacing w:line="360" w:lineRule="auto"/>
        <w:ind w:firstLine="0" w:firstLineChars="0"/>
        <w:outlineLvl w:val="2"/>
        <w:rPr>
          <w:rFonts w:hint="eastAsia" w:cs="宋体"/>
          <w:b/>
        </w:rPr>
      </w:pPr>
      <w:r>
        <w:rPr>
          <w:rFonts w:hint="eastAsia" w:cs="宋体"/>
          <w:b/>
        </w:rPr>
        <w:t>28</w:t>
      </w:r>
      <w:r>
        <w:rPr>
          <w:rFonts w:hint="eastAsia" w:cs="宋体"/>
          <w:b/>
          <w:color w:val="000000"/>
          <w:kern w:val="0"/>
        </w:rPr>
        <w:t>．</w:t>
      </w:r>
      <w:r>
        <w:rPr>
          <w:rFonts w:hint="eastAsia" w:cs="宋体"/>
          <w:b/>
        </w:rPr>
        <w:t>中标通知书</w:t>
      </w:r>
    </w:p>
    <w:p>
      <w:pPr>
        <w:pStyle w:val="254"/>
        <w:tabs>
          <w:tab w:val="left" w:pos="0"/>
        </w:tabs>
        <w:spacing w:before="0"/>
        <w:ind w:firstLine="480"/>
        <w:rPr>
          <w:rFonts w:hint="eastAsia" w:ascii="宋体" w:hAnsi="宋体" w:cs="宋体"/>
          <w:color w:val="000000"/>
          <w:kern w:val="0"/>
          <w:szCs w:val="24"/>
        </w:rPr>
      </w:pPr>
      <w:r>
        <w:rPr>
          <w:rFonts w:hint="eastAsia" w:ascii="宋体" w:hAnsi="宋体" w:cs="宋体"/>
          <w:color w:val="000000"/>
          <w:szCs w:val="24"/>
        </w:rPr>
        <w:t>28.1确定中标人后，采购人将在发布招标公告的网站上公布中标结果，在发布公告的同时，签发中标通知书</w:t>
      </w:r>
      <w:r>
        <w:rPr>
          <w:rFonts w:hint="eastAsia" w:ascii="宋体" w:hAnsi="宋体" w:cs="宋体"/>
          <w:color w:val="000000"/>
          <w:kern w:val="0"/>
          <w:szCs w:val="24"/>
        </w:rPr>
        <w:t>。</w:t>
      </w:r>
    </w:p>
    <w:p>
      <w:pPr>
        <w:pStyle w:val="254"/>
        <w:tabs>
          <w:tab w:val="left" w:pos="0"/>
        </w:tabs>
        <w:spacing w:before="0"/>
        <w:ind w:firstLine="480"/>
        <w:rPr>
          <w:rFonts w:hint="eastAsia" w:ascii="宋体" w:hAnsi="宋体" w:cs="宋体"/>
          <w:color w:val="000000"/>
          <w:szCs w:val="24"/>
        </w:rPr>
      </w:pPr>
      <w:r>
        <w:rPr>
          <w:rFonts w:hint="eastAsia" w:ascii="宋体" w:hAnsi="宋体" w:cs="宋体"/>
          <w:color w:val="000000"/>
          <w:szCs w:val="24"/>
        </w:rPr>
        <w:t>28.2中标通知书对采购人和中标人具有同等法律效力。供应商对中标结果有异议的，应当在中标公告发布之日起七个工作日内，以书面形式向采购人或采购代理机构提出质疑。</w:t>
      </w:r>
    </w:p>
    <w:p>
      <w:pPr>
        <w:pStyle w:val="254"/>
        <w:tabs>
          <w:tab w:val="left" w:pos="0"/>
        </w:tabs>
        <w:spacing w:before="0"/>
        <w:ind w:firstLine="480"/>
        <w:rPr>
          <w:rFonts w:hint="eastAsia" w:ascii="宋体" w:hAnsi="宋体" w:cs="宋体"/>
          <w:color w:val="000000"/>
          <w:szCs w:val="24"/>
        </w:rPr>
      </w:pPr>
      <w:r>
        <w:rPr>
          <w:rFonts w:hint="eastAsia" w:ascii="宋体" w:hAnsi="宋体" w:cs="宋体"/>
          <w:color w:val="000000"/>
          <w:szCs w:val="24"/>
        </w:rPr>
        <w:t>28.3中标通知书亦成为合同的组成部分。</w:t>
      </w:r>
    </w:p>
    <w:p>
      <w:pPr>
        <w:pStyle w:val="254"/>
        <w:tabs>
          <w:tab w:val="left" w:pos="0"/>
        </w:tabs>
        <w:spacing w:before="0"/>
        <w:ind w:firstLine="480"/>
        <w:rPr>
          <w:rFonts w:hint="eastAsia" w:ascii="宋体" w:hAnsi="宋体" w:cs="宋体"/>
          <w:color w:val="000000"/>
          <w:szCs w:val="24"/>
        </w:rPr>
      </w:pPr>
      <w:r>
        <w:rPr>
          <w:rFonts w:hint="eastAsia" w:ascii="宋体" w:hAnsi="宋体" w:cs="宋体"/>
          <w:color w:val="000000"/>
          <w:szCs w:val="24"/>
        </w:rPr>
        <w:t>28.4如中标人拒绝承担中标的项目，或提出采购人、采购代理机构不能接受的条件，致使合同无法签订，采购人将取消其中标资格，可以考虑与下一</w:t>
      </w:r>
      <w:r>
        <w:rPr>
          <w:rFonts w:hint="eastAsia" w:ascii="宋体" w:hAnsi="宋体" w:cs="宋体"/>
          <w:szCs w:val="24"/>
        </w:rPr>
        <w:t>顺序</w:t>
      </w:r>
      <w:r>
        <w:rPr>
          <w:rFonts w:hint="eastAsia" w:ascii="宋体" w:hAnsi="宋体" w:cs="宋体"/>
          <w:color w:val="000000"/>
          <w:szCs w:val="24"/>
        </w:rPr>
        <w:t>中标候选人进行签订合同或另行组织采购。</w:t>
      </w:r>
    </w:p>
    <w:p>
      <w:pPr>
        <w:pStyle w:val="254"/>
        <w:tabs>
          <w:tab w:val="left" w:pos="0"/>
        </w:tabs>
        <w:spacing w:before="0"/>
        <w:ind w:firstLine="480"/>
        <w:rPr>
          <w:rFonts w:hint="eastAsia" w:ascii="宋体" w:hAnsi="宋体" w:cs="宋体"/>
          <w:color w:val="000000"/>
          <w:szCs w:val="24"/>
        </w:rPr>
      </w:pPr>
      <w:r>
        <w:rPr>
          <w:rFonts w:hint="eastAsia" w:ascii="宋体" w:hAnsi="宋体" w:cs="宋体"/>
          <w:color w:val="000000"/>
          <w:szCs w:val="24"/>
        </w:rPr>
        <w:t>28.5如签</w:t>
      </w:r>
      <w:r>
        <w:rPr>
          <w:rFonts w:hint="eastAsia" w:ascii="宋体" w:hAnsi="宋体" w:cs="宋体"/>
          <w:color w:val="000000"/>
          <w:szCs w:val="24"/>
          <w:lang w:val="zh-CN"/>
        </w:rPr>
        <w:t>订合同并生效后，供应商无故拒绝或延期，将按照合同条款处罚。</w:t>
      </w:r>
    </w:p>
    <w:p>
      <w:pPr>
        <w:pStyle w:val="23"/>
        <w:spacing w:line="360" w:lineRule="auto"/>
        <w:ind w:firstLine="0" w:firstLineChars="0"/>
        <w:outlineLvl w:val="2"/>
        <w:rPr>
          <w:rFonts w:hint="eastAsia" w:cs="宋体"/>
          <w:color w:val="000000"/>
        </w:rPr>
      </w:pPr>
      <w:r>
        <w:rPr>
          <w:rFonts w:hint="eastAsia" w:cs="宋体"/>
          <w:b/>
        </w:rPr>
        <w:t>29</w:t>
      </w:r>
      <w:r>
        <w:rPr>
          <w:rFonts w:hint="eastAsia" w:cs="宋体"/>
          <w:b/>
          <w:color w:val="000000"/>
          <w:kern w:val="0"/>
        </w:rPr>
        <w:t>．</w:t>
      </w:r>
      <w:r>
        <w:rPr>
          <w:rFonts w:hint="eastAsia" w:cs="宋体"/>
          <w:b/>
        </w:rPr>
        <w:t>合同的签订：</w:t>
      </w:r>
      <w:r>
        <w:rPr>
          <w:rFonts w:hint="eastAsia" w:cs="宋体"/>
          <w:color w:val="000000"/>
        </w:rPr>
        <w:t>中标人接到中标通知后30日内，与采购人签订合同。</w:t>
      </w:r>
    </w:p>
    <w:p>
      <w:pPr>
        <w:spacing w:line="360" w:lineRule="auto"/>
        <w:rPr>
          <w:rFonts w:hint="eastAsia" w:ascii="宋体" w:hAnsi="宋体" w:cs="宋体"/>
          <w:b/>
          <w:sz w:val="24"/>
        </w:rPr>
      </w:pPr>
      <w:r>
        <w:rPr>
          <w:rFonts w:hint="eastAsia" w:ascii="宋体" w:hAnsi="宋体" w:cs="宋体"/>
          <w:b/>
          <w:sz w:val="24"/>
        </w:rPr>
        <w:t>30</w:t>
      </w:r>
      <w:r>
        <w:rPr>
          <w:rFonts w:hint="eastAsia" w:ascii="宋体" w:hAnsi="宋体" w:cs="宋体"/>
          <w:b/>
          <w:color w:val="000000"/>
          <w:kern w:val="0"/>
          <w:sz w:val="24"/>
        </w:rPr>
        <w:t>．</w:t>
      </w:r>
      <w:r>
        <w:rPr>
          <w:rFonts w:hint="eastAsia" w:ascii="宋体" w:hAnsi="宋体" w:cs="宋体"/>
          <w:b/>
          <w:sz w:val="24"/>
        </w:rPr>
        <w:t>履约保证金</w:t>
      </w:r>
    </w:p>
    <w:p>
      <w:pPr>
        <w:pStyle w:val="254"/>
        <w:spacing w:before="0"/>
        <w:ind w:firstLine="480"/>
        <w:rPr>
          <w:rFonts w:hint="eastAsia" w:ascii="宋体" w:hAnsi="宋体" w:cs="宋体"/>
          <w:color w:val="000000"/>
          <w:szCs w:val="24"/>
        </w:rPr>
      </w:pPr>
      <w:r>
        <w:rPr>
          <w:rFonts w:hint="eastAsia" w:ascii="宋体" w:hAnsi="宋体" w:cs="宋体"/>
          <w:color w:val="000000"/>
          <w:szCs w:val="24"/>
        </w:rPr>
        <w:t>30.1本合同中标人拟按合同总价金额的</w:t>
      </w:r>
      <w:r>
        <w:rPr>
          <w:rFonts w:hint="eastAsia" w:ascii="宋体" w:hAnsi="宋体" w:cs="宋体"/>
          <w:b/>
          <w:color w:val="000000"/>
          <w:szCs w:val="24"/>
          <w:u w:val="single"/>
          <w:lang w:val="en-US" w:eastAsia="zh-CN"/>
        </w:rPr>
        <w:t>/</w:t>
      </w:r>
      <w:r>
        <w:rPr>
          <w:rFonts w:hint="eastAsia" w:ascii="宋体" w:hAnsi="宋体" w:cs="宋体"/>
          <w:b/>
          <w:color w:val="000000"/>
          <w:szCs w:val="24"/>
        </w:rPr>
        <w:t>%</w:t>
      </w:r>
      <w:r>
        <w:rPr>
          <w:rFonts w:hint="eastAsia" w:ascii="宋体" w:hAnsi="宋体" w:cs="宋体"/>
          <w:color w:val="000000"/>
          <w:szCs w:val="24"/>
        </w:rPr>
        <w:t>交纳履约保证金作为合同生效的必要条件。履约保证金在合同有效期满后五个工作日内，无违约的，无息退还。</w:t>
      </w:r>
    </w:p>
    <w:p>
      <w:pPr>
        <w:pStyle w:val="31"/>
        <w:spacing w:line="360" w:lineRule="auto"/>
        <w:ind w:firstLine="480" w:firstLineChars="200"/>
        <w:rPr>
          <w:rFonts w:hint="eastAsia" w:hAnsi="宋体" w:cs="宋体"/>
          <w:sz w:val="24"/>
          <w:szCs w:val="24"/>
        </w:rPr>
      </w:pPr>
      <w:r>
        <w:rPr>
          <w:rFonts w:hint="eastAsia" w:hAnsi="宋体" w:cs="宋体"/>
          <w:sz w:val="24"/>
          <w:szCs w:val="24"/>
        </w:rPr>
        <w:t>30.2中标人如未按时交纳履约保证金，采购人有权撤销其中标资格，并根据评标委员会确定的中标候选人名单与下一顺序单位商谈合同，或报请批准后另行采购。</w:t>
      </w:r>
    </w:p>
    <w:p>
      <w:pPr>
        <w:pStyle w:val="23"/>
        <w:spacing w:line="360" w:lineRule="auto"/>
        <w:rPr>
          <w:rFonts w:hint="eastAsia" w:cs="宋体"/>
        </w:rPr>
      </w:pPr>
      <w:r>
        <w:rPr>
          <w:rFonts w:hint="eastAsia" w:cs="宋体"/>
        </w:rPr>
        <w:t>30.3履约保证金可以用支票、银行汇票、保函等形式交纳。</w:t>
      </w:r>
    </w:p>
    <w:p>
      <w:pPr>
        <w:spacing w:line="360" w:lineRule="auto"/>
        <w:jc w:val="center"/>
        <w:outlineLvl w:val="0"/>
        <w:rPr>
          <w:rFonts w:hint="eastAsia" w:ascii="宋体" w:hAnsi="宋体" w:cs="宋体"/>
          <w:b/>
          <w:sz w:val="36"/>
          <w:szCs w:val="36"/>
        </w:rPr>
      </w:pPr>
      <w:bookmarkStart w:id="22" w:name="第三部分"/>
      <w:bookmarkStart w:id="23" w:name="_Toc164416483"/>
      <w:bookmarkStart w:id="24" w:name="_Toc91899903"/>
    </w:p>
    <w:p>
      <w:pPr>
        <w:spacing w:line="360" w:lineRule="auto"/>
        <w:jc w:val="center"/>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pPr>
    </w:p>
    <w:p>
      <w:pPr>
        <w:rPr>
          <w:rFonts w:hint="eastAsia"/>
        </w:rPr>
      </w:pPr>
    </w:p>
    <w:p>
      <w:pPr>
        <w:pStyle w:val="2"/>
        <w:numPr>
          <w:numId w:val="0"/>
        </w:numPr>
        <w:ind w:leftChars="0"/>
        <w:rPr>
          <w:rFonts w:hint="eastAsia"/>
        </w:rPr>
      </w:pPr>
      <w:bookmarkStart w:id="396" w:name="_GoBack"/>
      <w:bookmarkEnd w:id="396"/>
    </w:p>
    <w:p>
      <w:pPr>
        <w:rPr>
          <w:rFonts w:hint="eastAsia"/>
        </w:rPr>
      </w:pPr>
    </w:p>
    <w:p>
      <w:pPr>
        <w:spacing w:line="360" w:lineRule="auto"/>
        <w:jc w:val="center"/>
        <w:outlineLvl w:val="0"/>
        <w:rPr>
          <w:rFonts w:hint="eastAsia" w:ascii="宋体" w:hAnsi="宋体" w:cs="宋体"/>
          <w:b/>
          <w:sz w:val="36"/>
          <w:szCs w:val="36"/>
        </w:rPr>
      </w:pPr>
      <w:r>
        <w:rPr>
          <w:rFonts w:hint="eastAsia" w:ascii="宋体" w:hAnsi="宋体" w:cs="宋体"/>
          <w:b/>
          <w:sz w:val="36"/>
          <w:szCs w:val="36"/>
        </w:rPr>
        <w:t>第四部分  评标办法及评分标准</w:t>
      </w:r>
    </w:p>
    <w:p>
      <w:pPr>
        <w:autoSpaceDE w:val="0"/>
        <w:autoSpaceDN w:val="0"/>
        <w:spacing w:line="440" w:lineRule="exact"/>
        <w:ind w:firstLine="480" w:firstLineChars="200"/>
        <w:jc w:val="left"/>
        <w:rPr>
          <w:rFonts w:ascii="宋体" w:hAnsi="宋体" w:cs="宋体"/>
          <w:sz w:val="24"/>
          <w:lang w:val="zh-CN"/>
        </w:rPr>
      </w:pPr>
      <w:r>
        <w:rPr>
          <w:rFonts w:hint="eastAsia" w:ascii="宋体" w:hAnsi="宋体" w:cs="宋体"/>
          <w:sz w:val="24"/>
          <w:lang w:val="zh-CN"/>
        </w:rPr>
        <w:t>为公正、公平、科学地选择中标人，根据有关法律法规的规定，并结合本项目的实际，制定本办法。</w:t>
      </w:r>
    </w:p>
    <w:p>
      <w:pPr>
        <w:spacing w:line="440" w:lineRule="exact"/>
        <w:rPr>
          <w:rFonts w:ascii="宋体" w:hAnsi="宋体" w:cs="宋体"/>
          <w:b/>
          <w:sz w:val="24"/>
          <w:lang w:val="zh-CN"/>
        </w:rPr>
      </w:pPr>
      <w:r>
        <w:rPr>
          <w:rFonts w:hint="eastAsia" w:ascii="宋体" w:hAnsi="宋体" w:cs="宋体"/>
          <w:b/>
          <w:sz w:val="24"/>
          <w:lang w:val="zh-CN"/>
        </w:rPr>
        <w:t>一、总则</w:t>
      </w:r>
    </w:p>
    <w:p>
      <w:pPr>
        <w:spacing w:line="440" w:lineRule="exact"/>
        <w:ind w:firstLine="480" w:firstLineChars="200"/>
        <w:rPr>
          <w:rFonts w:ascii="宋体" w:hAnsi="宋体" w:cs="宋体"/>
          <w:sz w:val="24"/>
        </w:rPr>
      </w:pPr>
      <w:r>
        <w:rPr>
          <w:rFonts w:hint="eastAsia" w:ascii="宋体" w:hAnsi="宋体" w:cs="宋体"/>
          <w:sz w:val="24"/>
        </w:rPr>
        <w:t>本次评标采用综合评分法，总分为100分，其中价格分30分，技术、资信及商务70分三部分。合格投标人的评标得分为各项目汇总得分，中标候选资格按评标得分由高到低顺序排列，得分相同的，按投标报价由低到高顺序排列，得分且投标报价相同的，按技术得分由高到低顺序排列。排名第一的投标人为中标人,排名第二的投标人为候补中标候选人…其他投标人中标候选资格依此类推。评分过程中采用四舍五入法，并保留小数2位。</w:t>
      </w:r>
    </w:p>
    <w:p>
      <w:pPr>
        <w:spacing w:line="440" w:lineRule="exact"/>
        <w:ind w:firstLine="480" w:firstLineChars="200"/>
        <w:rPr>
          <w:rFonts w:ascii="宋体" w:hAnsi="宋体" w:cs="宋体"/>
          <w:sz w:val="24"/>
        </w:rPr>
      </w:pPr>
      <w:r>
        <w:rPr>
          <w:rFonts w:hint="eastAsia" w:ascii="宋体" w:hAnsi="宋体" w:cs="宋体"/>
          <w:sz w:val="24"/>
        </w:rPr>
        <w:t>投标人评标综合得分=价格分+商务资信技术总分</w:t>
      </w:r>
    </w:p>
    <w:p>
      <w:pPr>
        <w:spacing w:line="440" w:lineRule="exact"/>
        <w:rPr>
          <w:rFonts w:ascii="宋体" w:hAnsi="宋体" w:cs="宋体"/>
          <w:b/>
          <w:sz w:val="24"/>
          <w:lang w:val="zh-CN"/>
        </w:rPr>
      </w:pPr>
      <w:r>
        <w:rPr>
          <w:rFonts w:hint="eastAsia" w:ascii="宋体" w:hAnsi="宋体" w:cs="宋体"/>
          <w:b/>
          <w:sz w:val="24"/>
          <w:lang w:val="zh-CN"/>
        </w:rPr>
        <w:t>二、评标内容及标准</w:t>
      </w:r>
    </w:p>
    <w:p>
      <w:pPr>
        <w:spacing w:line="440" w:lineRule="exact"/>
        <w:rPr>
          <w:rFonts w:ascii="宋体" w:hAnsi="宋体" w:cs="宋体"/>
          <w:b/>
          <w:bCs/>
          <w:spacing w:val="-4"/>
          <w:sz w:val="24"/>
        </w:rPr>
      </w:pPr>
      <w:r>
        <w:rPr>
          <w:rFonts w:hint="eastAsia" w:ascii="宋体" w:hAnsi="宋体" w:cs="宋体"/>
          <w:b/>
          <w:bCs/>
          <w:spacing w:val="-4"/>
          <w:sz w:val="24"/>
        </w:rPr>
        <w:t>（一）价格分</w:t>
      </w:r>
    </w:p>
    <w:p>
      <w:pPr>
        <w:spacing w:line="440" w:lineRule="exact"/>
        <w:ind w:firstLine="480" w:firstLineChars="200"/>
        <w:rPr>
          <w:rFonts w:ascii="宋体" w:hAnsi="宋体" w:cs="宋体"/>
          <w:sz w:val="24"/>
        </w:rPr>
      </w:pPr>
      <w:r>
        <w:rPr>
          <w:rFonts w:hint="eastAsia" w:ascii="宋体" w:hAnsi="宋体" w:cs="宋体"/>
          <w:sz w:val="24"/>
        </w:rPr>
        <w:t>1.价格分采用低价优先法计算，即满足采购文件要求且投标价格最低的投标报价为评标基准价，其他投标人的价格分按照下列公式计算：</w:t>
      </w:r>
    </w:p>
    <w:p>
      <w:pPr>
        <w:spacing w:line="440" w:lineRule="exact"/>
        <w:ind w:firstLine="480" w:firstLineChars="200"/>
        <w:rPr>
          <w:rFonts w:ascii="宋体" w:hAnsi="宋体" w:cs="宋体"/>
          <w:sz w:val="24"/>
        </w:rPr>
      </w:pPr>
      <w:r>
        <w:rPr>
          <w:rFonts w:hint="eastAsia" w:ascii="宋体" w:hAnsi="宋体" w:cs="宋体"/>
          <w:sz w:val="24"/>
        </w:rPr>
        <w:t xml:space="preserve">价格分=（评标基准价/投标报价）×30%×100 </w:t>
      </w:r>
    </w:p>
    <w:p>
      <w:pPr>
        <w:pStyle w:val="23"/>
        <w:spacing w:line="420" w:lineRule="exact"/>
        <w:ind w:firstLine="431" w:firstLineChars="179"/>
        <w:rPr>
          <w:rFonts w:cs="宋体"/>
          <w:b/>
        </w:rPr>
      </w:pPr>
      <w:r>
        <w:rPr>
          <w:rFonts w:cs="宋体"/>
          <w:b/>
        </w:rPr>
        <w:t>扶持政策说明：</w:t>
      </w:r>
    </w:p>
    <w:p>
      <w:pPr>
        <w:tabs>
          <w:tab w:val="left" w:pos="8280"/>
        </w:tabs>
        <w:spacing w:line="420" w:lineRule="exact"/>
        <w:ind w:firstLine="480" w:firstLineChars="200"/>
        <w:jc w:val="left"/>
        <w:rPr>
          <w:rFonts w:hint="eastAsia" w:ascii="宋体" w:hAnsi="宋体" w:cs="宋体"/>
          <w:b/>
          <w:bCs/>
          <w:kern w:val="0"/>
          <w:sz w:val="24"/>
        </w:rPr>
      </w:pPr>
      <w:r>
        <w:rPr>
          <w:rFonts w:ascii="宋体" w:hAnsi="宋体" w:eastAsia="宋体" w:cs="宋体"/>
          <w:kern w:val="0"/>
          <w:sz w:val="24"/>
        </w:rPr>
        <w:t>根据财政部、工业和信息化部制定的《政府采购促进中小企业发展管理办法》（财库〔2020〕46号），《财政部关于进一步加大政府采购支持中小企业力度的通知》(财库〔</w:t>
      </w:r>
      <w:r>
        <w:rPr>
          <w:rFonts w:hint="eastAsia" w:ascii="宋体" w:hAnsi="宋体" w:eastAsia="宋体" w:cs="宋体"/>
          <w:kern w:val="0"/>
          <w:sz w:val="24"/>
        </w:rPr>
        <w:t>2022</w:t>
      </w:r>
      <w:r>
        <w:rPr>
          <w:rFonts w:ascii="宋体" w:hAnsi="宋体" w:eastAsia="宋体" w:cs="宋体"/>
          <w:kern w:val="0"/>
          <w:sz w:val="24"/>
        </w:rPr>
        <w:t>〕19号），在评审时对小型或微型企业的投标报价给予</w:t>
      </w:r>
      <w:r>
        <w:rPr>
          <w:rFonts w:hint="eastAsia" w:ascii="宋体" w:hAnsi="宋体" w:eastAsia="宋体" w:cs="宋体"/>
          <w:kern w:val="0"/>
          <w:sz w:val="24"/>
        </w:rPr>
        <w:t>10</w:t>
      </w:r>
      <w:r>
        <w:rPr>
          <w:rFonts w:ascii="宋体" w:hAnsi="宋体" w:eastAsia="宋体" w:cs="宋体"/>
          <w:kern w:val="0"/>
          <w:sz w:val="24"/>
        </w:rPr>
        <w:t>%的扣除，并用扣除后的价格作为最终报价（此最终报价仅作为价格分计算）。</w:t>
      </w:r>
      <w:r>
        <w:rPr>
          <w:rFonts w:hint="eastAsia" w:ascii="宋体" w:hAnsi="宋体" w:eastAsia="宋体" w:cs="宋体"/>
          <w:b/>
          <w:bCs/>
          <w:kern w:val="0"/>
          <w:sz w:val="24"/>
        </w:rPr>
        <w:t>属于小型和微型企业的，响应文件中供应商应提供《中小企业声明函》或《残疾人福利性单位声明函》或《监狱企业声明函》。</w:t>
      </w:r>
      <w:r>
        <w:rPr>
          <w:rFonts w:hint="eastAsia" w:ascii="宋体" w:hAnsi="宋体" w:cs="宋体"/>
          <w:b/>
          <w:bCs/>
          <w:kern w:val="0"/>
          <w:sz w:val="24"/>
        </w:rPr>
        <w:t xml:space="preserve">    </w:t>
      </w:r>
    </w:p>
    <w:p>
      <w:pPr>
        <w:tabs>
          <w:tab w:val="left" w:pos="8280"/>
        </w:tabs>
        <w:spacing w:line="420" w:lineRule="exact"/>
        <w:ind w:firstLine="480" w:firstLineChars="20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同时符合以下所有要求的投标人被认定为小型、微型企业：投标人按照《关于印发中小企业划型标准规定的通知》（工信部联企业〔2011〕300号）的所属行业规定为小型、微型企业【注：按《关于印发中小企业划型标准规定的通知》规定提供《中小企业声明函》及其相关的证明材料】；</w:t>
      </w:r>
    </w:p>
    <w:p>
      <w:pPr>
        <w:tabs>
          <w:tab w:val="left" w:pos="8280"/>
        </w:tabs>
        <w:spacing w:line="420" w:lineRule="exact"/>
        <w:ind w:firstLine="480" w:firstLineChars="200"/>
        <w:jc w:val="left"/>
        <w:rPr>
          <w:rFonts w:ascii="宋体" w:hAnsi="宋体" w:cs="宋体"/>
          <w:kern w:val="0"/>
          <w:sz w:val="24"/>
        </w:rPr>
      </w:pPr>
      <w:r>
        <w:rPr>
          <w:rFonts w:hint="eastAsia" w:ascii="宋体" w:hAnsi="宋体" w:cs="宋体"/>
          <w:kern w:val="0"/>
          <w:sz w:val="24"/>
        </w:rPr>
        <w:t>2）所投产品供应商均为小型、微型企业的，【按《关于印发中小企业划型标准规定的通知》中</w:t>
      </w:r>
      <w:r>
        <w:rPr>
          <w:rFonts w:hint="eastAsia" w:ascii="宋体" w:hAnsi="宋体" w:cs="宋体"/>
          <w:color w:val="0000FF"/>
          <w:kern w:val="0"/>
          <w:sz w:val="24"/>
          <w:u w:val="single"/>
        </w:rPr>
        <w:t>“</w:t>
      </w:r>
      <w:r>
        <w:rPr>
          <w:rFonts w:hint="eastAsia" w:ascii="宋体" w:hAnsi="宋体" w:cs="宋体"/>
          <w:color w:val="0000FF"/>
          <w:kern w:val="0"/>
          <w:sz w:val="24"/>
          <w:u w:val="single"/>
          <w:lang w:val="en-US" w:eastAsia="zh-CN"/>
        </w:rPr>
        <w:t>工业行业</w:t>
      </w:r>
      <w:r>
        <w:rPr>
          <w:rFonts w:hint="eastAsia" w:ascii="宋体" w:hAnsi="宋体" w:cs="宋体"/>
          <w:color w:val="0000FF"/>
          <w:kern w:val="0"/>
          <w:sz w:val="24"/>
          <w:u w:val="single"/>
        </w:rPr>
        <w:t>”</w:t>
      </w:r>
      <w:r>
        <w:rPr>
          <w:rFonts w:hint="eastAsia" w:ascii="宋体" w:hAnsi="宋体" w:cs="宋体"/>
          <w:kern w:val="0"/>
          <w:sz w:val="24"/>
        </w:rPr>
        <w:t>规定，提供产品供应商相关数据如实填报在《中小企业声明函》中，不提供不予认可】。</w:t>
      </w:r>
    </w:p>
    <w:p>
      <w:pPr>
        <w:tabs>
          <w:tab w:val="left" w:pos="8280"/>
        </w:tabs>
        <w:spacing w:line="420" w:lineRule="exact"/>
        <w:ind w:firstLine="480" w:firstLineChars="200"/>
        <w:jc w:val="left"/>
        <w:rPr>
          <w:rFonts w:ascii="宋体" w:hAnsi="宋体" w:cs="宋体"/>
          <w:kern w:val="0"/>
          <w:sz w:val="24"/>
        </w:rPr>
      </w:pPr>
      <w:r>
        <w:rPr>
          <w:rFonts w:hint="eastAsia" w:ascii="宋体" w:hAnsi="宋体" w:cs="宋体"/>
          <w:kern w:val="0"/>
          <w:sz w:val="24"/>
        </w:rPr>
        <w:t>（2）</w:t>
      </w:r>
      <w:r>
        <w:rPr>
          <w:rFonts w:ascii="宋体" w:hAnsi="宋体" w:cs="宋体"/>
          <w:kern w:val="0"/>
          <w:sz w:val="24"/>
        </w:rPr>
        <w:t>监狱企业参加投标【提供《监狱企业声明函》</w:t>
      </w:r>
      <w:r>
        <w:rPr>
          <w:rFonts w:hint="eastAsia" w:ascii="宋体" w:hAnsi="宋体" w:cs="宋体"/>
          <w:kern w:val="0"/>
          <w:sz w:val="24"/>
        </w:rPr>
        <w:t>，</w:t>
      </w:r>
      <w:r>
        <w:rPr>
          <w:rFonts w:hint="eastAsia" w:ascii="宋体" w:hAnsi="宋体"/>
          <w:sz w:val="24"/>
        </w:rPr>
        <w:t>同时提供提供由省级以上监狱管理局、戒毒管理局（含新疆生产建设兵团）出具的属于监狱企业的证明文件</w:t>
      </w:r>
      <w:r>
        <w:rPr>
          <w:rFonts w:ascii="宋体" w:hAnsi="宋体" w:cs="宋体"/>
          <w:kern w:val="0"/>
          <w:sz w:val="24"/>
        </w:rPr>
        <w:t>】，视为小型、微型企业，享受小微企业政策扶持</w:t>
      </w:r>
      <w:r>
        <w:rPr>
          <w:rFonts w:hint="eastAsia" w:ascii="宋体" w:hAnsi="宋体" w:cs="宋体"/>
          <w:kern w:val="0"/>
          <w:sz w:val="24"/>
        </w:rPr>
        <w:t>，监狱企业属于小型、微型企业的，不重复享受政策。</w:t>
      </w:r>
      <w:r>
        <w:rPr>
          <w:rFonts w:ascii="宋体" w:hAnsi="宋体" w:cs="宋体"/>
          <w:kern w:val="0"/>
          <w:sz w:val="24"/>
        </w:rPr>
        <w:br w:type="textWrapping"/>
      </w:r>
      <w:r>
        <w:rPr>
          <w:rFonts w:hint="eastAsia" w:ascii="宋体" w:hAnsi="宋体" w:cs="宋体"/>
          <w:kern w:val="0"/>
          <w:sz w:val="24"/>
        </w:rPr>
        <w:t xml:space="preserve">    （3）</w:t>
      </w:r>
      <w:r>
        <w:rPr>
          <w:rFonts w:ascii="宋体" w:hAnsi="宋体" w:cs="宋体"/>
          <w:kern w:val="0"/>
          <w:sz w:val="24"/>
        </w:rPr>
        <w:t>残疾人福利性单位参加投标【提供《残疾人福利性单位声明函》</w:t>
      </w:r>
      <w:r>
        <w:rPr>
          <w:rFonts w:hint="eastAsia" w:ascii="宋体" w:hAnsi="宋体" w:cs="宋体"/>
          <w:kern w:val="0"/>
          <w:sz w:val="24"/>
        </w:rPr>
        <w:t>，</w:t>
      </w:r>
      <w:r>
        <w:rPr>
          <w:rFonts w:hint="eastAsia" w:ascii="宋体" w:hAnsi="宋体"/>
          <w:sz w:val="24"/>
        </w:rPr>
        <w:t>同时提供</w:t>
      </w:r>
      <w:r>
        <w:rPr>
          <w:rFonts w:ascii="宋体" w:hAnsi="宋体"/>
          <w:sz w:val="24"/>
        </w:rPr>
        <w:t>《关于促进残疾人就业政府采购政策的通知》</w:t>
      </w:r>
      <w:r>
        <w:rPr>
          <w:rFonts w:hint="eastAsia" w:ascii="宋体" w:hAnsi="宋体"/>
          <w:sz w:val="24"/>
        </w:rPr>
        <w:t>中规定的</w:t>
      </w:r>
      <w:r>
        <w:rPr>
          <w:rFonts w:ascii="宋体" w:hAnsi="宋体"/>
          <w:sz w:val="24"/>
        </w:rPr>
        <w:t>残疾人福利性单位需要具备的条件</w:t>
      </w:r>
      <w:r>
        <w:rPr>
          <w:rFonts w:hint="eastAsia" w:ascii="宋体" w:hAnsi="宋体"/>
          <w:sz w:val="24"/>
        </w:rPr>
        <w:t>的证明材料</w:t>
      </w:r>
      <w:r>
        <w:rPr>
          <w:rFonts w:ascii="宋体" w:hAnsi="宋体" w:cs="宋体"/>
          <w:kern w:val="0"/>
          <w:sz w:val="24"/>
        </w:rPr>
        <w:t>】，视为小型、微型企业，享受小微企业政策扶持</w:t>
      </w:r>
      <w:r>
        <w:rPr>
          <w:rFonts w:hint="eastAsia" w:ascii="宋体" w:hAnsi="宋体" w:cs="宋体"/>
          <w:kern w:val="0"/>
          <w:sz w:val="24"/>
        </w:rPr>
        <w:t>，残疾人福利性单位企业属于小型、微型企业的，不重复享受政策。</w:t>
      </w:r>
    </w:p>
    <w:p>
      <w:pPr>
        <w:pStyle w:val="23"/>
        <w:snapToGrid w:val="0"/>
        <w:spacing w:line="420" w:lineRule="exact"/>
        <w:ind w:firstLine="482"/>
        <w:rPr>
          <w:bCs/>
        </w:rPr>
      </w:pPr>
      <w:r>
        <w:rPr>
          <w:rFonts w:cs="宋体"/>
          <w:b/>
          <w:bCs/>
        </w:rPr>
        <w:t>供应商按照规定提供声明函内容不实的，属于提供虚假材料谋取中标（成 交），依照《中华人民共和国政府采购法》等国家有关规定追究相应责任。</w:t>
      </w:r>
      <w:r>
        <w:rPr>
          <w:rFonts w:cs="宋体"/>
          <w:kern w:val="0"/>
        </w:rPr>
        <w:br w:type="textWrapping"/>
      </w:r>
      <w:r>
        <w:rPr>
          <w:rFonts w:cs="宋体"/>
          <w:kern w:val="0"/>
        </w:rPr>
        <w:t>此项由</w:t>
      </w:r>
      <w:r>
        <w:rPr>
          <w:rFonts w:hint="eastAsia" w:cs="宋体"/>
          <w:kern w:val="0"/>
        </w:rPr>
        <w:t>评标委员会</w:t>
      </w:r>
      <w:r>
        <w:rPr>
          <w:rFonts w:cs="宋体"/>
          <w:kern w:val="0"/>
        </w:rPr>
        <w:t>集体核实后统一</w:t>
      </w:r>
      <w:r>
        <w:rPr>
          <w:rFonts w:hint="eastAsia" w:cs="宋体"/>
          <w:kern w:val="0"/>
        </w:rPr>
        <w:t>打</w:t>
      </w:r>
      <w:r>
        <w:rPr>
          <w:rFonts w:cs="宋体"/>
          <w:kern w:val="0"/>
        </w:rPr>
        <w:t>分。</w:t>
      </w:r>
    </w:p>
    <w:p>
      <w:pPr>
        <w:spacing w:line="440" w:lineRule="exact"/>
        <w:rPr>
          <w:rFonts w:ascii="宋体" w:hAnsi="宋体" w:cs="宋体"/>
          <w:b/>
          <w:sz w:val="24"/>
        </w:rPr>
      </w:pPr>
      <w:r>
        <w:rPr>
          <w:rFonts w:hint="eastAsia" w:ascii="宋体" w:hAnsi="宋体" w:cs="宋体"/>
          <w:b/>
          <w:bCs/>
          <w:sz w:val="24"/>
        </w:rPr>
        <w:t>（二）</w:t>
      </w:r>
      <w:r>
        <w:rPr>
          <w:rFonts w:hint="eastAsia" w:ascii="宋体" w:hAnsi="宋体" w:cs="宋体"/>
          <w:b/>
          <w:sz w:val="24"/>
        </w:rPr>
        <w:t>商务资信技术分</w:t>
      </w:r>
    </w:p>
    <w:p>
      <w:pPr>
        <w:spacing w:line="400" w:lineRule="exact"/>
        <w:ind w:firstLine="480" w:firstLineChars="200"/>
        <w:rPr>
          <w:rFonts w:ascii="宋体" w:hAnsi="宋体" w:cs="宋体"/>
          <w:sz w:val="24"/>
        </w:rPr>
      </w:pPr>
      <w:r>
        <w:rPr>
          <w:rFonts w:hint="eastAsia" w:ascii="宋体" w:hAnsi="宋体" w:cs="宋体"/>
          <w:sz w:val="24"/>
        </w:rPr>
        <w:t>商务资信技术得分的计算（得分计算过程中采用四舍五入法，保留小数2位）</w:t>
      </w:r>
    </w:p>
    <w:p>
      <w:pPr>
        <w:spacing w:line="400" w:lineRule="exact"/>
        <w:ind w:firstLine="480" w:firstLineChars="200"/>
        <w:rPr>
          <w:rFonts w:ascii="宋体" w:hAnsi="宋体" w:cs="宋体"/>
          <w:sz w:val="24"/>
        </w:rPr>
      </w:pPr>
      <w:r>
        <w:rPr>
          <w:rFonts w:hint="eastAsia" w:ascii="宋体" w:hAnsi="宋体" w:cs="宋体"/>
          <w:sz w:val="24"/>
        </w:rPr>
        <w:t>商务资信技术得分按照评标委员会成员的独立评分结果汇总数，计算公式为：</w:t>
      </w:r>
    </w:p>
    <w:p>
      <w:pPr>
        <w:spacing w:line="400" w:lineRule="exact"/>
        <w:ind w:firstLine="480" w:firstLineChars="200"/>
        <w:rPr>
          <w:rFonts w:ascii="宋体" w:hAnsi="宋体" w:cs="宋体"/>
          <w:sz w:val="24"/>
        </w:rPr>
      </w:pPr>
      <w:r>
        <w:rPr>
          <w:rFonts w:hint="eastAsia" w:ascii="宋体" w:hAnsi="宋体" w:cs="宋体"/>
          <w:sz w:val="24"/>
        </w:rPr>
        <w:t>商务资信技术得分=评标委员会所有成员评分合计数/评标委员会组成人员数。</w:t>
      </w:r>
    </w:p>
    <w:p>
      <w:pPr>
        <w:pStyle w:val="6"/>
        <w:rPr>
          <w:rFonts w:hint="eastAsia" w:hAnsi="宋体" w:cs="宋体"/>
        </w:rPr>
      </w:pPr>
      <w:r>
        <w:rPr>
          <w:rFonts w:hint="eastAsia" w:hAnsi="宋体" w:cs="宋体"/>
        </w:rPr>
        <w:t>评分内容和标准，见下表：</w:t>
      </w:r>
    </w:p>
    <w:tbl>
      <w:tblPr>
        <w:tblStyle w:val="60"/>
        <w:tblW w:w="9359" w:type="dxa"/>
        <w:tblInd w:w="-176"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05"/>
        <w:gridCol w:w="1620"/>
        <w:gridCol w:w="5910"/>
        <w:gridCol w:w="1024"/>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805" w:type="dxa"/>
            <w:tcBorders>
              <w:top w:val="double" w:color="000000" w:sz="6" w:space="0"/>
              <w:left w:val="double" w:color="000000" w:sz="6" w:space="0"/>
              <w:bottom w:val="single" w:color="000000" w:sz="6" w:space="0"/>
              <w:right w:val="single" w:color="000000" w:sz="6" w:space="0"/>
            </w:tcBorders>
            <w:noWrap w:val="0"/>
            <w:vAlign w:val="center"/>
          </w:tcPr>
          <w:p>
            <w:pPr>
              <w:spacing w:line="276" w:lineRule="auto"/>
              <w:jc w:val="center"/>
              <w:rPr>
                <w:rFonts w:ascii="宋体" w:hAnsi="宋体" w:cs="宋体"/>
                <w:b/>
                <w:color w:val="000000"/>
                <w:sz w:val="24"/>
              </w:rPr>
            </w:pPr>
            <w:r>
              <w:rPr>
                <w:rFonts w:hint="eastAsia" w:ascii="宋体" w:hAnsi="宋体" w:cs="宋体"/>
                <w:b/>
                <w:color w:val="000000"/>
                <w:sz w:val="24"/>
              </w:rPr>
              <w:t>序号</w:t>
            </w:r>
          </w:p>
        </w:tc>
        <w:tc>
          <w:tcPr>
            <w:tcW w:w="1620" w:type="dxa"/>
            <w:tcBorders>
              <w:top w:val="double" w:color="000000" w:sz="6" w:space="0"/>
              <w:left w:val="single" w:color="000000" w:sz="6" w:space="0"/>
              <w:bottom w:val="single" w:color="000000" w:sz="6" w:space="0"/>
              <w:right w:val="single" w:color="000000" w:sz="6" w:space="0"/>
            </w:tcBorders>
            <w:noWrap w:val="0"/>
            <w:vAlign w:val="center"/>
          </w:tcPr>
          <w:p>
            <w:pPr>
              <w:spacing w:line="276" w:lineRule="auto"/>
              <w:jc w:val="center"/>
              <w:rPr>
                <w:rFonts w:ascii="宋体" w:hAnsi="宋体" w:cs="宋体"/>
                <w:b/>
                <w:color w:val="000000"/>
                <w:sz w:val="24"/>
              </w:rPr>
            </w:pPr>
            <w:r>
              <w:rPr>
                <w:rFonts w:hint="eastAsia" w:ascii="宋体" w:hAnsi="宋体" w:cs="宋体"/>
                <w:b/>
                <w:color w:val="000000"/>
                <w:sz w:val="24"/>
              </w:rPr>
              <w:t>评分内容</w:t>
            </w:r>
          </w:p>
        </w:tc>
        <w:tc>
          <w:tcPr>
            <w:tcW w:w="5910" w:type="dxa"/>
            <w:tcBorders>
              <w:top w:val="double" w:color="000000" w:sz="6" w:space="0"/>
              <w:left w:val="single" w:color="000000" w:sz="6" w:space="0"/>
              <w:bottom w:val="single" w:color="000000" w:sz="6" w:space="0"/>
              <w:right w:val="single" w:color="000000" w:sz="6" w:space="0"/>
            </w:tcBorders>
            <w:noWrap w:val="0"/>
            <w:vAlign w:val="center"/>
          </w:tcPr>
          <w:p>
            <w:pPr>
              <w:spacing w:line="276" w:lineRule="auto"/>
              <w:jc w:val="center"/>
              <w:rPr>
                <w:rFonts w:ascii="宋体" w:hAnsi="宋体" w:cs="宋体"/>
                <w:b/>
                <w:color w:val="000000"/>
                <w:sz w:val="24"/>
              </w:rPr>
            </w:pPr>
            <w:r>
              <w:rPr>
                <w:rFonts w:hint="eastAsia" w:ascii="宋体" w:hAnsi="宋体" w:cs="宋体"/>
                <w:b/>
                <w:color w:val="000000"/>
                <w:sz w:val="24"/>
              </w:rPr>
              <w:t>评分标准</w:t>
            </w:r>
          </w:p>
        </w:tc>
        <w:tc>
          <w:tcPr>
            <w:tcW w:w="1024" w:type="dxa"/>
            <w:tcBorders>
              <w:top w:val="double" w:color="000000" w:sz="6" w:space="0"/>
              <w:left w:val="single" w:color="000000" w:sz="6" w:space="0"/>
              <w:bottom w:val="single" w:color="000000" w:sz="6" w:space="0"/>
              <w:right w:val="double" w:color="000000" w:sz="6" w:space="0"/>
            </w:tcBorders>
            <w:noWrap w:val="0"/>
            <w:vAlign w:val="center"/>
          </w:tcPr>
          <w:p>
            <w:pPr>
              <w:spacing w:line="276" w:lineRule="auto"/>
              <w:jc w:val="center"/>
              <w:rPr>
                <w:rFonts w:ascii="宋体" w:hAnsi="宋体" w:cs="宋体"/>
                <w:b/>
                <w:color w:val="000000"/>
                <w:sz w:val="24"/>
              </w:rPr>
            </w:pPr>
            <w:r>
              <w:rPr>
                <w:rFonts w:hint="eastAsia" w:ascii="宋体" w:hAnsi="宋体" w:cs="宋体"/>
                <w:b/>
                <w:color w:val="000000"/>
                <w:sz w:val="24"/>
              </w:rPr>
              <w:t>分值</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805" w:type="dxa"/>
            <w:tcBorders>
              <w:top w:val="double" w:color="000000" w:sz="6" w:space="0"/>
              <w:left w:val="double" w:color="000000" w:sz="6" w:space="0"/>
              <w:bottom w:val="single" w:color="000000" w:sz="6" w:space="0"/>
              <w:right w:val="single" w:color="000000" w:sz="6" w:space="0"/>
            </w:tcBorders>
            <w:noWrap w:val="0"/>
            <w:vAlign w:val="center"/>
          </w:tcPr>
          <w:p>
            <w:pPr>
              <w:pStyle w:val="55"/>
              <w:spacing w:beforeAutospacing="0" w:afterAutospacing="0" w:line="340" w:lineRule="exact"/>
              <w:jc w:val="center"/>
              <w:rPr>
                <w:rFonts w:cs="宋体"/>
                <w:b/>
                <w:bCs/>
              </w:rPr>
            </w:pPr>
            <w:r>
              <w:rPr>
                <w:rFonts w:hint="eastAsia" w:cs="宋体"/>
                <w:b/>
                <w:bCs/>
              </w:rPr>
              <w:t>一</w:t>
            </w:r>
          </w:p>
        </w:tc>
        <w:tc>
          <w:tcPr>
            <w:tcW w:w="7530" w:type="dxa"/>
            <w:gridSpan w:val="2"/>
            <w:tcBorders>
              <w:top w:val="double" w:color="000000" w:sz="6" w:space="0"/>
              <w:left w:val="single" w:color="000000" w:sz="6" w:space="0"/>
              <w:bottom w:val="single" w:color="000000" w:sz="6" w:space="0"/>
              <w:right w:val="single" w:color="000000" w:sz="6" w:space="0"/>
            </w:tcBorders>
            <w:noWrap w:val="0"/>
            <w:vAlign w:val="center"/>
          </w:tcPr>
          <w:p>
            <w:pPr>
              <w:pStyle w:val="55"/>
              <w:spacing w:beforeAutospacing="0" w:afterAutospacing="0" w:line="340" w:lineRule="exact"/>
              <w:jc w:val="center"/>
              <w:rPr>
                <w:rFonts w:cs="宋体"/>
                <w:b/>
                <w:bCs/>
              </w:rPr>
            </w:pPr>
            <w:r>
              <w:rPr>
                <w:rFonts w:hint="eastAsia" w:cs="宋体"/>
                <w:b/>
                <w:bCs/>
              </w:rPr>
              <w:t>技术分</w:t>
            </w:r>
          </w:p>
        </w:tc>
        <w:tc>
          <w:tcPr>
            <w:tcW w:w="1024" w:type="dxa"/>
            <w:tcBorders>
              <w:top w:val="double" w:color="000000" w:sz="6" w:space="0"/>
              <w:left w:val="single" w:color="000000" w:sz="6" w:space="0"/>
              <w:bottom w:val="single" w:color="000000" w:sz="6" w:space="0"/>
              <w:right w:val="double" w:color="000000" w:sz="6" w:space="0"/>
            </w:tcBorders>
            <w:noWrap w:val="0"/>
            <w:vAlign w:val="center"/>
          </w:tcPr>
          <w:p>
            <w:pPr>
              <w:spacing w:line="276" w:lineRule="auto"/>
              <w:jc w:val="center"/>
              <w:rPr>
                <w:rFonts w:ascii="宋体" w:hAnsi="宋体" w:cs="宋体"/>
                <w:b/>
                <w:color w:val="000000"/>
                <w:sz w:val="24"/>
              </w:rPr>
            </w:pPr>
            <w:r>
              <w:rPr>
                <w:rFonts w:hint="eastAsia" w:ascii="宋体" w:hAnsi="宋体" w:cs="宋体"/>
                <w:b/>
                <w:color w:val="000000"/>
                <w:sz w:val="24"/>
                <w:lang w:val="en-US" w:eastAsia="zh-CN"/>
              </w:rPr>
              <w:t>53</w:t>
            </w:r>
            <w:r>
              <w:rPr>
                <w:rFonts w:hint="eastAsia" w:ascii="宋体" w:hAnsi="宋体" w:cs="宋体"/>
                <w:b/>
                <w:color w:val="000000"/>
                <w:sz w:val="24"/>
              </w:rPr>
              <w:t>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817" w:hRule="atLeast"/>
        </w:trPr>
        <w:tc>
          <w:tcPr>
            <w:tcW w:w="805" w:type="dxa"/>
            <w:tcBorders>
              <w:top w:val="double" w:color="000000" w:sz="6" w:space="0"/>
              <w:left w:val="double" w:color="000000" w:sz="6" w:space="0"/>
              <w:bottom w:val="single" w:color="000000" w:sz="6" w:space="0"/>
              <w:right w:val="single" w:color="000000" w:sz="6" w:space="0"/>
            </w:tcBorders>
            <w:noWrap w:val="0"/>
            <w:vAlign w:val="center"/>
          </w:tcPr>
          <w:p>
            <w:pPr>
              <w:jc w:val="center"/>
              <w:rPr>
                <w:rFonts w:ascii="宋体" w:hAnsi="宋体" w:cs="宋体"/>
                <w:caps/>
                <w:sz w:val="24"/>
              </w:rPr>
            </w:pPr>
            <w:r>
              <w:rPr>
                <w:rFonts w:hint="eastAsia" w:ascii="宋体" w:hAnsi="宋体" w:cs="宋体"/>
                <w:caps/>
                <w:sz w:val="24"/>
              </w:rPr>
              <w:t>1</w:t>
            </w:r>
          </w:p>
        </w:tc>
        <w:tc>
          <w:tcPr>
            <w:tcW w:w="1620" w:type="dxa"/>
            <w:tcBorders>
              <w:top w:val="double" w:color="000000" w:sz="6" w:space="0"/>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bCs/>
                <w:sz w:val="24"/>
              </w:rPr>
            </w:pPr>
            <w:r>
              <w:rPr>
                <w:rFonts w:hint="eastAsia" w:ascii="宋体" w:hAnsi="宋体" w:eastAsia="宋体" w:cs="宋体"/>
                <w:bCs/>
                <w:sz w:val="24"/>
              </w:rPr>
              <w:t>满足招标货物的性能及技术指标要求</w:t>
            </w:r>
          </w:p>
        </w:tc>
        <w:tc>
          <w:tcPr>
            <w:tcW w:w="5910" w:type="dxa"/>
            <w:tcBorders>
              <w:top w:val="double" w:color="000000" w:sz="6" w:space="0"/>
              <w:left w:val="single" w:color="000000" w:sz="6" w:space="0"/>
              <w:bottom w:val="single" w:color="000000" w:sz="6" w:space="0"/>
              <w:right w:val="single" w:color="000000" w:sz="6" w:space="0"/>
            </w:tcBorders>
            <w:noWrap w:val="0"/>
            <w:vAlign w:val="center"/>
          </w:tcPr>
          <w:p>
            <w:pPr>
              <w:pStyle w:val="55"/>
              <w:spacing w:beforeAutospacing="0" w:afterAutospacing="0" w:line="340" w:lineRule="exact"/>
              <w:ind w:firstLine="480" w:firstLineChars="200"/>
              <w:rPr>
                <w:rFonts w:hint="eastAsia" w:ascii="宋体" w:hAnsi="宋体" w:eastAsia="宋体" w:cs="宋体"/>
                <w:kern w:val="2"/>
              </w:rPr>
            </w:pPr>
            <w:r>
              <w:rPr>
                <w:rFonts w:hint="eastAsia" w:ascii="宋体" w:hAnsi="宋体" w:eastAsia="宋体" w:cs="宋体"/>
                <w:kern w:val="2"/>
              </w:rPr>
              <w:t>满足招标货物的所有性能及技术指标要求得</w:t>
            </w:r>
            <w:r>
              <w:rPr>
                <w:rFonts w:hint="eastAsia" w:ascii="宋体" w:hAnsi="宋体" w:eastAsia="宋体" w:cs="宋体"/>
                <w:kern w:val="2"/>
                <w:lang w:val="en-US" w:eastAsia="zh-CN"/>
              </w:rPr>
              <w:t>2</w:t>
            </w:r>
            <w:r>
              <w:rPr>
                <w:rFonts w:hint="eastAsia" w:cs="宋体"/>
                <w:kern w:val="2"/>
                <w:lang w:val="en-US" w:eastAsia="zh-CN"/>
              </w:rPr>
              <w:t>4</w:t>
            </w:r>
            <w:r>
              <w:rPr>
                <w:rFonts w:hint="eastAsia" w:ascii="宋体" w:hAnsi="宋体" w:eastAsia="宋体" w:cs="宋体"/>
                <w:kern w:val="2"/>
              </w:rPr>
              <w:t>分，允许偏离的非重要指标低于招标需求的，经由专家组评议后，</w:t>
            </w:r>
            <w:r>
              <w:rPr>
                <w:rFonts w:hint="eastAsia" w:ascii="宋体" w:hAnsi="宋体" w:eastAsia="宋体" w:cs="宋体"/>
                <w:kern w:val="2"/>
                <w:lang w:val="en-US" w:eastAsia="zh-CN"/>
              </w:rPr>
              <w:t>负偏离</w:t>
            </w:r>
            <w:r>
              <w:rPr>
                <w:rFonts w:hint="eastAsia" w:ascii="宋体" w:hAnsi="宋体" w:eastAsia="宋体" w:cs="宋体"/>
                <w:kern w:val="2"/>
              </w:rPr>
              <w:t>一项减</w:t>
            </w:r>
            <w:r>
              <w:rPr>
                <w:rFonts w:hint="eastAsia" w:ascii="宋体" w:hAnsi="宋体" w:eastAsia="宋体" w:cs="宋体"/>
                <w:kern w:val="2"/>
                <w:lang w:val="en-US" w:eastAsia="zh-CN"/>
              </w:rPr>
              <w:t>1</w:t>
            </w:r>
            <w:r>
              <w:rPr>
                <w:rFonts w:hint="eastAsia" w:ascii="宋体" w:hAnsi="宋体" w:eastAsia="宋体" w:cs="宋体"/>
                <w:kern w:val="2"/>
              </w:rPr>
              <w:t>分，扣完为止。</w:t>
            </w:r>
          </w:p>
          <w:p>
            <w:pPr>
              <w:pStyle w:val="55"/>
              <w:spacing w:beforeAutospacing="0" w:afterAutospacing="0" w:line="340" w:lineRule="exact"/>
              <w:ind w:firstLine="480" w:firstLineChars="200"/>
              <w:rPr>
                <w:rFonts w:hint="eastAsia" w:ascii="宋体" w:hAnsi="宋体" w:eastAsia="宋体" w:cs="宋体"/>
                <w:kern w:val="2"/>
              </w:rPr>
            </w:pPr>
            <w:r>
              <w:rPr>
                <w:rFonts w:hint="eastAsia" w:ascii="宋体" w:hAnsi="宋体" w:eastAsia="宋体" w:cs="宋体"/>
                <w:kern w:val="2"/>
              </w:rPr>
              <w:t>允许偏离的重要指标（标注“★”）低于招标需求的，经由专家组评议后，</w:t>
            </w:r>
            <w:r>
              <w:rPr>
                <w:rFonts w:hint="eastAsia" w:ascii="宋体" w:hAnsi="宋体" w:eastAsia="宋体" w:cs="宋体"/>
                <w:kern w:val="2"/>
                <w:lang w:val="en-US" w:eastAsia="zh-CN"/>
              </w:rPr>
              <w:t>负偏离</w:t>
            </w:r>
            <w:r>
              <w:rPr>
                <w:rFonts w:hint="eastAsia" w:ascii="宋体" w:hAnsi="宋体" w:eastAsia="宋体" w:cs="宋体"/>
                <w:kern w:val="2"/>
              </w:rPr>
              <w:t>一项减2分，扣完为止。</w:t>
            </w:r>
          </w:p>
          <w:p>
            <w:pPr>
              <w:pStyle w:val="55"/>
              <w:spacing w:beforeAutospacing="0" w:afterAutospacing="0" w:line="340" w:lineRule="exact"/>
              <w:ind w:firstLine="482" w:firstLineChars="200"/>
              <w:rPr>
                <w:rFonts w:cs="宋体"/>
                <w:kern w:val="2"/>
              </w:rPr>
            </w:pPr>
            <w:r>
              <w:rPr>
                <w:rFonts w:hint="eastAsia" w:ascii="宋体" w:hAnsi="宋体" w:eastAsia="宋体" w:cs="宋体"/>
                <w:b/>
                <w:bCs/>
                <w:kern w:val="2"/>
              </w:rPr>
              <w:t>注：主要技术参数</w:t>
            </w:r>
            <w:r>
              <w:rPr>
                <w:rFonts w:hint="eastAsia" w:ascii="宋体" w:hAnsi="宋体" w:eastAsia="宋体" w:cs="宋体"/>
                <w:b/>
                <w:bCs/>
                <w:kern w:val="2"/>
                <w:lang w:val="en-US" w:eastAsia="zh-CN"/>
              </w:rPr>
              <w:t>中如要求提供</w:t>
            </w:r>
            <w:r>
              <w:rPr>
                <w:rFonts w:hint="eastAsia" w:ascii="宋体" w:hAnsi="宋体" w:eastAsia="宋体" w:cs="宋体"/>
                <w:b/>
                <w:bCs/>
                <w:kern w:val="2"/>
              </w:rPr>
              <w:t>有效技术文件或第三方机构检验报告</w:t>
            </w:r>
            <w:r>
              <w:rPr>
                <w:rFonts w:hint="eastAsia" w:ascii="宋体" w:hAnsi="宋体" w:eastAsia="宋体" w:cs="宋体"/>
                <w:b/>
                <w:bCs/>
                <w:kern w:val="2"/>
                <w:lang w:val="en-US" w:eastAsia="zh-CN"/>
              </w:rPr>
              <w:t>的</w:t>
            </w:r>
            <w:r>
              <w:rPr>
                <w:rFonts w:hint="eastAsia" w:ascii="宋体" w:hAnsi="宋体" w:eastAsia="宋体" w:cs="宋体"/>
                <w:b/>
                <w:bCs/>
                <w:kern w:val="2"/>
              </w:rPr>
              <w:t>，未提供</w:t>
            </w:r>
            <w:r>
              <w:rPr>
                <w:rFonts w:hint="eastAsia" w:ascii="宋体" w:hAnsi="宋体" w:eastAsia="宋体" w:cs="宋体"/>
                <w:b/>
                <w:bCs/>
                <w:kern w:val="2"/>
                <w:lang w:val="en-US" w:eastAsia="zh-CN"/>
              </w:rPr>
              <w:t>或所提供的材料</w:t>
            </w:r>
            <w:r>
              <w:rPr>
                <w:rFonts w:hint="eastAsia" w:ascii="宋体" w:hAnsi="宋体" w:eastAsia="宋体" w:cs="宋体"/>
                <w:b/>
                <w:bCs/>
                <w:kern w:val="2"/>
              </w:rPr>
              <w:t>与所</w:t>
            </w:r>
            <w:r>
              <w:rPr>
                <w:rFonts w:hint="eastAsia" w:ascii="宋体" w:hAnsi="宋体" w:eastAsia="宋体" w:cs="宋体"/>
                <w:b/>
                <w:bCs/>
                <w:kern w:val="2"/>
                <w:lang w:val="en-US" w:eastAsia="zh-CN"/>
              </w:rPr>
              <w:t>要求</w:t>
            </w:r>
            <w:r>
              <w:rPr>
                <w:rFonts w:hint="eastAsia" w:ascii="宋体" w:hAnsi="宋体" w:eastAsia="宋体" w:cs="宋体"/>
                <w:b/>
                <w:bCs/>
                <w:kern w:val="2"/>
              </w:rPr>
              <w:t>指标不一致的，该指标按</w:t>
            </w:r>
            <w:r>
              <w:rPr>
                <w:rFonts w:hint="eastAsia" w:ascii="宋体" w:hAnsi="宋体" w:eastAsia="宋体" w:cs="宋体"/>
                <w:b/>
                <w:bCs/>
                <w:kern w:val="2"/>
                <w:lang w:val="en-US" w:eastAsia="zh-CN"/>
              </w:rPr>
              <w:t>负偏离</w:t>
            </w:r>
            <w:r>
              <w:rPr>
                <w:rFonts w:hint="eastAsia" w:ascii="宋体" w:hAnsi="宋体" w:eastAsia="宋体" w:cs="宋体"/>
                <w:b/>
                <w:bCs/>
                <w:kern w:val="2"/>
              </w:rPr>
              <w:t>处理。</w:t>
            </w:r>
          </w:p>
        </w:tc>
        <w:tc>
          <w:tcPr>
            <w:tcW w:w="1024" w:type="dxa"/>
            <w:tcBorders>
              <w:top w:val="double" w:color="000000" w:sz="6" w:space="0"/>
              <w:left w:val="single" w:color="000000" w:sz="6" w:space="0"/>
              <w:bottom w:val="single" w:color="000000" w:sz="6" w:space="0"/>
              <w:right w:val="double" w:color="000000" w:sz="6" w:space="0"/>
            </w:tcBorders>
            <w:noWrap w:val="0"/>
            <w:vAlign w:val="center"/>
          </w:tcPr>
          <w:p>
            <w:pPr>
              <w:jc w:val="center"/>
              <w:rPr>
                <w:rFonts w:ascii="宋体" w:hAnsi="宋体" w:cs="宋体"/>
                <w:bCs/>
                <w:caps/>
                <w:sz w:val="24"/>
              </w:rPr>
            </w:pPr>
            <w:r>
              <w:rPr>
                <w:rFonts w:hint="eastAsia" w:ascii="宋体" w:hAnsi="宋体" w:cs="宋体"/>
                <w:bCs/>
                <w:caps/>
                <w:sz w:val="24"/>
              </w:rPr>
              <w:t>0-</w:t>
            </w:r>
            <w:r>
              <w:rPr>
                <w:rFonts w:hint="eastAsia" w:ascii="宋体" w:hAnsi="宋体" w:cs="宋体"/>
                <w:bCs/>
                <w:caps/>
                <w:sz w:val="24"/>
                <w:lang w:val="en-US" w:eastAsia="zh-CN"/>
              </w:rPr>
              <w:t>24</w:t>
            </w:r>
            <w:r>
              <w:rPr>
                <w:rFonts w:hint="eastAsia" w:ascii="宋体" w:hAnsi="宋体" w:cs="宋体"/>
                <w:bCs/>
                <w:caps/>
                <w:sz w:val="24"/>
              </w:rPr>
              <w:t>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805" w:type="dxa"/>
            <w:tcBorders>
              <w:top w:val="single" w:color="000000" w:sz="6" w:space="0"/>
              <w:left w:val="double" w:color="000000" w:sz="6" w:space="0"/>
              <w:bottom w:val="single" w:color="000000" w:sz="6" w:space="0"/>
              <w:right w:val="single" w:color="000000" w:sz="6" w:space="0"/>
            </w:tcBorders>
            <w:noWrap w:val="0"/>
            <w:vAlign w:val="center"/>
          </w:tcPr>
          <w:p>
            <w:pPr>
              <w:jc w:val="center"/>
              <w:rPr>
                <w:rFonts w:ascii="宋体" w:hAnsi="宋体" w:cs="宋体"/>
                <w:sz w:val="24"/>
              </w:rPr>
            </w:pPr>
            <w:r>
              <w:rPr>
                <w:rFonts w:hint="eastAsia" w:ascii="宋体" w:hAnsi="宋体" w:cs="宋体"/>
                <w:sz w:val="24"/>
              </w:rPr>
              <w:t>2</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bCs/>
                <w:sz w:val="24"/>
              </w:rPr>
            </w:pPr>
            <w:r>
              <w:rPr>
                <w:rFonts w:hint="eastAsia" w:ascii="宋体" w:hAnsi="宋体" w:eastAsia="宋体" w:cs="宋体"/>
                <w:bCs/>
                <w:sz w:val="24"/>
              </w:rPr>
              <w:t>项目实施方案</w:t>
            </w:r>
          </w:p>
          <w:p>
            <w:pPr>
              <w:jc w:val="center"/>
              <w:rPr>
                <w:rFonts w:hint="eastAsia" w:ascii="宋体" w:hAnsi="宋体" w:eastAsia="宋体" w:cs="宋体"/>
                <w:bCs/>
                <w:sz w:val="24"/>
              </w:rPr>
            </w:pPr>
          </w:p>
        </w:tc>
        <w:tc>
          <w:tcPr>
            <w:tcW w:w="5910" w:type="dxa"/>
            <w:tcBorders>
              <w:top w:val="single" w:color="000000" w:sz="6" w:space="0"/>
              <w:left w:val="single" w:color="000000" w:sz="6" w:space="0"/>
              <w:bottom w:val="single" w:color="000000" w:sz="6" w:space="0"/>
              <w:right w:val="single" w:color="000000" w:sz="6" w:space="0"/>
            </w:tcBorders>
            <w:noWrap w:val="0"/>
            <w:vAlign w:val="center"/>
          </w:tcPr>
          <w:p>
            <w:pPr>
              <w:pStyle w:val="55"/>
              <w:spacing w:beforeAutospacing="0" w:afterAutospacing="0" w:line="340" w:lineRule="exact"/>
              <w:ind w:firstLine="480" w:firstLineChars="200"/>
              <w:rPr>
                <w:rFonts w:hint="eastAsia" w:ascii="宋体" w:hAnsi="宋体" w:eastAsia="宋体" w:cs="宋体"/>
                <w:kern w:val="2"/>
                <w:lang w:val="en-US" w:eastAsia="zh-CN"/>
              </w:rPr>
            </w:pPr>
            <w:r>
              <w:rPr>
                <w:rFonts w:hint="eastAsia" w:ascii="宋体" w:hAnsi="宋体" w:eastAsia="宋体" w:cs="宋体"/>
                <w:kern w:val="2"/>
                <w:lang w:val="en-US" w:eastAsia="zh-CN"/>
              </w:rPr>
              <w:t>根据投标人提供的</w:t>
            </w:r>
            <w:r>
              <w:rPr>
                <w:rFonts w:hint="eastAsia" w:cs="宋体"/>
                <w:kern w:val="2"/>
                <w:lang w:val="en-US" w:eastAsia="zh-CN"/>
              </w:rPr>
              <w:t>施工方案</w:t>
            </w:r>
            <w:r>
              <w:rPr>
                <w:rFonts w:hint="eastAsia" w:ascii="宋体" w:hAnsi="宋体" w:eastAsia="宋体" w:cs="宋体"/>
                <w:kern w:val="2"/>
                <w:lang w:val="en-US" w:eastAsia="zh-CN"/>
              </w:rPr>
              <w:t>进行综合评审，方案全面有效的得2分，基本满足要求的得1-1.5分，有欠缺的最多得0.5分。</w:t>
            </w:r>
          </w:p>
          <w:p>
            <w:pPr>
              <w:pStyle w:val="55"/>
              <w:spacing w:beforeAutospacing="0" w:afterAutospacing="0" w:line="340" w:lineRule="exact"/>
              <w:ind w:firstLine="480" w:firstLineChars="200"/>
              <w:rPr>
                <w:rFonts w:hint="default" w:ascii="宋体" w:hAnsi="宋体" w:eastAsia="宋体" w:cs="宋体"/>
                <w:kern w:val="2"/>
                <w:lang w:val="en-US" w:eastAsia="zh-CN"/>
              </w:rPr>
            </w:pPr>
            <w:r>
              <w:rPr>
                <w:rFonts w:hint="eastAsia" w:ascii="宋体" w:hAnsi="宋体" w:eastAsia="宋体" w:cs="宋体"/>
                <w:kern w:val="2"/>
                <w:lang w:val="en-US" w:eastAsia="zh-CN"/>
              </w:rPr>
              <w:t>根据投标人提供的供货保障措施进行综合评审，措施全面有效的得2.5-3分，基本满足要求的得1.5-2分，有欠缺的最多得1分。</w:t>
            </w:r>
          </w:p>
          <w:p>
            <w:pPr>
              <w:pStyle w:val="55"/>
              <w:spacing w:beforeAutospacing="0" w:afterAutospacing="0" w:line="340" w:lineRule="exact"/>
              <w:ind w:firstLine="480" w:firstLineChars="200"/>
              <w:rPr>
                <w:rFonts w:hint="eastAsia" w:ascii="宋体" w:hAnsi="宋体" w:eastAsia="宋体" w:cs="宋体"/>
                <w:kern w:val="2"/>
                <w:lang w:val="en-US" w:eastAsia="zh-CN"/>
              </w:rPr>
            </w:pPr>
            <w:r>
              <w:rPr>
                <w:rFonts w:hint="eastAsia" w:ascii="宋体" w:hAnsi="宋体" w:eastAsia="宋体" w:cs="宋体"/>
                <w:kern w:val="2"/>
                <w:lang w:val="en-US" w:eastAsia="zh-CN"/>
              </w:rPr>
              <w:t>根据投标人提供的质量保证方案进行综合评审，方案全面有效的得2分，基本满足要求的得1-1.5分，有欠缺的最多得0.5分。</w:t>
            </w:r>
          </w:p>
          <w:p>
            <w:pPr>
              <w:pStyle w:val="55"/>
              <w:spacing w:beforeAutospacing="0" w:afterAutospacing="0" w:line="340" w:lineRule="exact"/>
              <w:ind w:firstLine="480" w:firstLineChars="200"/>
              <w:rPr>
                <w:rFonts w:hint="eastAsia" w:ascii="宋体" w:hAnsi="宋体" w:eastAsia="宋体" w:cs="宋体"/>
                <w:kern w:val="2"/>
                <w:lang w:val="en-US" w:eastAsia="zh-CN"/>
              </w:rPr>
            </w:pPr>
            <w:r>
              <w:rPr>
                <w:rFonts w:hint="eastAsia" w:ascii="宋体" w:hAnsi="宋体" w:cs="宋体"/>
                <w:sz w:val="24"/>
                <w:lang w:val="en-US" w:eastAsia="zh-CN"/>
              </w:rPr>
              <w:t>根据项目</w:t>
            </w:r>
            <w:r>
              <w:rPr>
                <w:rFonts w:hint="eastAsia" w:ascii="宋体" w:hAnsi="宋体" w:cs="宋体"/>
                <w:sz w:val="24"/>
              </w:rPr>
              <w:t>实施人员安排情况，</w:t>
            </w:r>
            <w:r>
              <w:rPr>
                <w:rFonts w:hint="eastAsia" w:ascii="宋体" w:hAnsi="宋体" w:cs="宋体"/>
                <w:sz w:val="24"/>
                <w:lang w:val="en-US" w:eastAsia="zh-CN"/>
              </w:rPr>
              <w:t>从</w:t>
            </w:r>
            <w:r>
              <w:rPr>
                <w:rFonts w:hint="eastAsia" w:ascii="宋体" w:hAnsi="宋体" w:cs="宋体"/>
                <w:sz w:val="24"/>
              </w:rPr>
              <w:t>人员配备</w:t>
            </w:r>
            <w:r>
              <w:rPr>
                <w:rFonts w:hint="eastAsia" w:ascii="宋体" w:hAnsi="宋体" w:cs="宋体"/>
                <w:sz w:val="24"/>
                <w:lang w:eastAsia="zh-CN"/>
              </w:rPr>
              <w:t>、</w:t>
            </w:r>
            <w:r>
              <w:rPr>
                <w:rFonts w:hint="eastAsia" w:ascii="宋体" w:hAnsi="宋体" w:cs="宋体"/>
                <w:sz w:val="24"/>
              </w:rPr>
              <w:t>专业配置、岗位</w:t>
            </w:r>
            <w:r>
              <w:rPr>
                <w:rFonts w:hint="eastAsia" w:ascii="宋体" w:hAnsi="宋体" w:cs="宋体"/>
                <w:sz w:val="24"/>
                <w:lang w:val="en-US" w:eastAsia="zh-CN"/>
              </w:rPr>
              <w:t>进行阐述，满足项目要求的得2</w:t>
            </w:r>
            <w:r>
              <w:rPr>
                <w:rFonts w:hint="eastAsia" w:ascii="宋体" w:hAnsi="宋体" w:cs="宋体"/>
                <w:sz w:val="24"/>
              </w:rPr>
              <w:t>分，上述有欠缺的</w:t>
            </w:r>
            <w:r>
              <w:rPr>
                <w:rFonts w:hint="eastAsia" w:ascii="宋体" w:hAnsi="宋体" w:cs="宋体"/>
                <w:sz w:val="24"/>
                <w:lang w:val="en-US" w:eastAsia="zh-CN"/>
              </w:rPr>
              <w:t>最多得1分</w:t>
            </w:r>
            <w:r>
              <w:rPr>
                <w:rFonts w:hint="eastAsia" w:ascii="宋体" w:hAnsi="宋体" w:cs="宋体"/>
                <w:sz w:val="24"/>
              </w:rPr>
              <w:t>。</w:t>
            </w:r>
          </w:p>
          <w:p>
            <w:pPr>
              <w:pStyle w:val="55"/>
              <w:spacing w:beforeAutospacing="0" w:afterAutospacing="0" w:line="340" w:lineRule="exact"/>
              <w:ind w:firstLine="480" w:firstLineChars="200"/>
              <w:rPr>
                <w:rFonts w:hint="default" w:ascii="宋体" w:hAnsi="宋体" w:eastAsia="宋体" w:cs="宋体"/>
                <w:kern w:val="2"/>
                <w:lang w:val="en-US" w:eastAsia="zh-CN"/>
              </w:rPr>
            </w:pPr>
            <w:r>
              <w:rPr>
                <w:rFonts w:hint="eastAsia" w:ascii="宋体" w:hAnsi="宋体" w:eastAsia="宋体" w:cs="宋体"/>
                <w:kern w:val="2"/>
                <w:lang w:val="en-US" w:eastAsia="zh-CN"/>
              </w:rPr>
              <w:t>根据投标人提供的项目安装、调试、验收方案进行综合评审，方案全面有效的得2分，基本满足要求的得1-1.5分，有欠缺的最多得0.5分。</w:t>
            </w:r>
          </w:p>
        </w:tc>
        <w:tc>
          <w:tcPr>
            <w:tcW w:w="1024" w:type="dxa"/>
            <w:tcBorders>
              <w:top w:val="single" w:color="000000" w:sz="6" w:space="0"/>
              <w:left w:val="single" w:color="000000" w:sz="6" w:space="0"/>
              <w:bottom w:val="single" w:color="000000" w:sz="6" w:space="0"/>
              <w:right w:val="double" w:color="000000" w:sz="6" w:space="0"/>
            </w:tcBorders>
            <w:noWrap w:val="0"/>
            <w:vAlign w:val="center"/>
          </w:tcPr>
          <w:p>
            <w:pPr>
              <w:jc w:val="center"/>
              <w:rPr>
                <w:rFonts w:ascii="宋体" w:hAnsi="宋体" w:cs="宋体"/>
                <w:bCs/>
                <w:caps/>
                <w:sz w:val="24"/>
              </w:rPr>
            </w:pPr>
            <w:r>
              <w:rPr>
                <w:rFonts w:hint="eastAsia" w:ascii="宋体" w:hAnsi="宋体" w:cs="宋体"/>
                <w:bCs/>
                <w:caps/>
                <w:sz w:val="24"/>
              </w:rPr>
              <w:t>0-</w:t>
            </w:r>
            <w:r>
              <w:rPr>
                <w:rFonts w:hint="eastAsia" w:ascii="宋体" w:hAnsi="宋体" w:cs="宋体"/>
                <w:bCs/>
                <w:caps/>
                <w:sz w:val="24"/>
                <w:lang w:val="en-US" w:eastAsia="zh-CN"/>
              </w:rPr>
              <w:t>11</w:t>
            </w:r>
            <w:r>
              <w:rPr>
                <w:rFonts w:hint="eastAsia" w:ascii="宋体" w:hAnsi="宋体" w:cs="宋体"/>
                <w:bCs/>
                <w:caps/>
                <w:sz w:val="24"/>
              </w:rPr>
              <w:t>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006" w:hRule="atLeast"/>
        </w:trPr>
        <w:tc>
          <w:tcPr>
            <w:tcW w:w="805" w:type="dxa"/>
            <w:tcBorders>
              <w:top w:val="single" w:color="000000" w:sz="6" w:space="0"/>
              <w:left w:val="double" w:color="000000" w:sz="6" w:space="0"/>
              <w:bottom w:val="single" w:color="000000" w:sz="6" w:space="0"/>
              <w:right w:val="single" w:color="000000" w:sz="6" w:space="0"/>
            </w:tcBorders>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3</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pPr>
              <w:jc w:val="center"/>
              <w:rPr>
                <w:rFonts w:hint="default" w:ascii="宋体" w:hAnsi="宋体" w:eastAsia="宋体" w:cs="宋体"/>
                <w:bCs/>
                <w:sz w:val="24"/>
                <w:lang w:val="en-US" w:eastAsia="zh-CN"/>
              </w:rPr>
            </w:pPr>
            <w:r>
              <w:rPr>
                <w:rFonts w:hint="eastAsia" w:ascii="宋体" w:hAnsi="宋体" w:eastAsia="宋体" w:cs="宋体"/>
                <w:bCs/>
                <w:sz w:val="24"/>
                <w:lang w:val="en-US" w:eastAsia="zh-CN"/>
              </w:rPr>
              <w:t>装饰布置</w:t>
            </w:r>
            <w:r>
              <w:rPr>
                <w:rFonts w:hint="eastAsia" w:ascii="宋体" w:hAnsi="宋体" w:eastAsia="宋体" w:cs="宋体"/>
                <w:bCs/>
                <w:sz w:val="24"/>
              </w:rPr>
              <w:t>设计</w:t>
            </w:r>
            <w:r>
              <w:rPr>
                <w:rFonts w:hint="eastAsia" w:ascii="宋体" w:hAnsi="宋体" w:eastAsia="宋体" w:cs="宋体"/>
                <w:bCs/>
                <w:sz w:val="24"/>
                <w:lang w:val="en-US" w:eastAsia="zh-CN"/>
              </w:rPr>
              <w:t>方案</w:t>
            </w:r>
          </w:p>
        </w:tc>
        <w:tc>
          <w:tcPr>
            <w:tcW w:w="5910" w:type="dxa"/>
            <w:tcBorders>
              <w:top w:val="single" w:color="000000" w:sz="6" w:space="0"/>
              <w:left w:val="single" w:color="000000" w:sz="6" w:space="0"/>
              <w:bottom w:val="single" w:color="000000" w:sz="6" w:space="0"/>
              <w:right w:val="single" w:color="000000" w:sz="6" w:space="0"/>
            </w:tcBorders>
            <w:noWrap w:val="0"/>
            <w:vAlign w:val="top"/>
          </w:tcPr>
          <w:p>
            <w:pPr>
              <w:pStyle w:val="55"/>
              <w:spacing w:beforeAutospacing="0" w:afterAutospacing="0" w:line="340" w:lineRule="exact"/>
              <w:ind w:firstLine="480" w:firstLineChars="200"/>
              <w:rPr>
                <w:rFonts w:hint="eastAsia" w:ascii="宋体" w:hAnsi="宋体" w:eastAsia="宋体" w:cs="宋体"/>
                <w:kern w:val="2"/>
                <w:lang w:val="en-US" w:eastAsia="zh-CN"/>
              </w:rPr>
            </w:pPr>
            <w:r>
              <w:rPr>
                <w:rFonts w:hint="eastAsia" w:ascii="宋体" w:hAnsi="宋体" w:eastAsia="宋体" w:cs="宋体"/>
                <w:kern w:val="2"/>
                <w:lang w:val="en-US" w:eastAsia="zh-CN"/>
              </w:rPr>
              <w:t>根据投标人提供的音乐、美术教室、风雨操场整体效果图、风雨操场的文化装饰效果图进行综合评审：按招标要求提供符合实际环境的美术教室效果图（2分），提供音乐教室效果图（2分），提供风雨操场整体效果图（2分），提供风雨操场文化装饰效果图（2分），不合理或欠缺的每处扣1分，缺图该项不得分。</w:t>
            </w:r>
          </w:p>
        </w:tc>
        <w:tc>
          <w:tcPr>
            <w:tcW w:w="1024" w:type="dxa"/>
            <w:tcBorders>
              <w:top w:val="single" w:color="000000" w:sz="6" w:space="0"/>
              <w:left w:val="single" w:color="000000" w:sz="6" w:space="0"/>
              <w:bottom w:val="single" w:color="000000" w:sz="6" w:space="0"/>
              <w:right w:val="double" w:color="000000" w:sz="6" w:space="0"/>
            </w:tcBorders>
            <w:noWrap w:val="0"/>
            <w:vAlign w:val="center"/>
          </w:tcPr>
          <w:p>
            <w:pPr>
              <w:jc w:val="center"/>
              <w:rPr>
                <w:rFonts w:hint="default" w:ascii="宋体" w:hAnsi="宋体" w:eastAsia="宋体" w:cs="宋体"/>
                <w:bCs/>
                <w:caps/>
                <w:sz w:val="24"/>
                <w:lang w:val="en-US" w:eastAsia="zh-CN"/>
              </w:rPr>
            </w:pPr>
            <w:r>
              <w:rPr>
                <w:rFonts w:hint="eastAsia" w:ascii="宋体" w:hAnsi="宋体" w:cs="宋体"/>
                <w:bCs/>
                <w:caps/>
                <w:sz w:val="24"/>
                <w:lang w:val="en-US" w:eastAsia="zh-CN"/>
              </w:rPr>
              <w:t>0-8分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86" w:hRule="atLeast"/>
        </w:trPr>
        <w:tc>
          <w:tcPr>
            <w:tcW w:w="805" w:type="dxa"/>
            <w:tcBorders>
              <w:top w:val="single" w:color="000000" w:sz="6" w:space="0"/>
              <w:left w:val="double" w:color="000000" w:sz="6" w:space="0"/>
              <w:bottom w:val="single" w:color="000000" w:sz="6" w:space="0"/>
              <w:right w:val="single" w:color="000000" w:sz="6" w:space="0"/>
            </w:tcBorders>
            <w:noWrap w:val="0"/>
            <w:vAlign w:val="center"/>
          </w:tcPr>
          <w:p>
            <w:pPr>
              <w:jc w:val="center"/>
              <w:rPr>
                <w:rFonts w:ascii="宋体" w:hAnsi="宋体" w:cs="宋体"/>
                <w:sz w:val="24"/>
              </w:rPr>
            </w:pPr>
            <w:r>
              <w:rPr>
                <w:rFonts w:hint="eastAsia" w:ascii="宋体" w:hAnsi="宋体" w:cs="宋体"/>
                <w:sz w:val="24"/>
              </w:rPr>
              <w:t>4</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pPr>
              <w:jc w:val="center"/>
              <w:rPr>
                <w:rFonts w:ascii="宋体" w:hAnsi="宋体" w:cs="宋体"/>
                <w:sz w:val="24"/>
              </w:rPr>
            </w:pPr>
            <w:r>
              <w:rPr>
                <w:rFonts w:hint="eastAsia" w:ascii="宋体" w:hAnsi="宋体" w:cs="宋体"/>
                <w:sz w:val="24"/>
              </w:rPr>
              <w:t>功能展示</w:t>
            </w:r>
          </w:p>
        </w:tc>
        <w:tc>
          <w:tcPr>
            <w:tcW w:w="5910" w:type="dxa"/>
            <w:tcBorders>
              <w:top w:val="single" w:color="000000" w:sz="6" w:space="0"/>
              <w:left w:val="single" w:color="000000" w:sz="6" w:space="0"/>
              <w:bottom w:val="single" w:color="000000" w:sz="6" w:space="0"/>
              <w:right w:val="single" w:color="000000" w:sz="6" w:space="0"/>
            </w:tcBorders>
            <w:noWrap w:val="0"/>
            <w:vAlign w:val="center"/>
          </w:tcPr>
          <w:p>
            <w:pPr>
              <w:rPr>
                <w:rFonts w:hint="eastAsia" w:ascii="宋体" w:hAnsi="宋体" w:cs="宋体"/>
                <w:b/>
                <w:bCs/>
                <w:color w:val="auto"/>
                <w:sz w:val="24"/>
              </w:rPr>
            </w:pPr>
            <w:r>
              <w:rPr>
                <w:rFonts w:hint="eastAsia" w:ascii="宋体" w:hAnsi="宋体" w:cs="宋体"/>
                <w:b/>
                <w:bCs/>
                <w:color w:val="auto"/>
                <w:sz w:val="24"/>
              </w:rPr>
              <w:t>以下设备提供功能性的</w:t>
            </w:r>
            <w:r>
              <w:rPr>
                <w:rFonts w:hint="eastAsia" w:ascii="宋体" w:hAnsi="宋体" w:cs="宋体"/>
                <w:b/>
                <w:bCs/>
                <w:color w:val="auto"/>
                <w:sz w:val="24"/>
                <w:u w:val="none"/>
              </w:rPr>
              <w:t>视频展示</w:t>
            </w:r>
            <w:r>
              <w:rPr>
                <w:rFonts w:hint="eastAsia" w:ascii="宋体" w:hAnsi="宋体" w:cs="宋体"/>
                <w:b/>
                <w:bCs/>
                <w:color w:val="auto"/>
                <w:sz w:val="24"/>
                <w:u w:val="none"/>
                <w:lang w:eastAsia="zh-CN"/>
              </w:rPr>
              <w:t>（</w:t>
            </w:r>
            <w:r>
              <w:rPr>
                <w:rFonts w:hint="eastAsia" w:ascii="宋体" w:hAnsi="宋体" w:cs="宋体"/>
                <w:b/>
                <w:bCs/>
                <w:color w:val="auto"/>
                <w:sz w:val="24"/>
              </w:rPr>
              <w:t>0-10分</w:t>
            </w:r>
            <w:r>
              <w:rPr>
                <w:rFonts w:hint="eastAsia" w:ascii="宋体" w:hAnsi="宋体" w:cs="宋体"/>
                <w:b/>
                <w:bCs/>
                <w:color w:val="auto"/>
                <w:sz w:val="24"/>
                <w:u w:val="none"/>
                <w:lang w:eastAsia="zh-CN"/>
              </w:rPr>
              <w:t>）</w:t>
            </w:r>
            <w:r>
              <w:rPr>
                <w:rFonts w:hint="eastAsia" w:ascii="宋体" w:hAnsi="宋体" w:cs="宋体"/>
                <w:b/>
                <w:bCs/>
                <w:color w:val="auto"/>
                <w:sz w:val="24"/>
              </w:rPr>
              <w:t>【注：视频展示应制作成MP4格式</w:t>
            </w:r>
            <w:r>
              <w:rPr>
                <w:rFonts w:hint="eastAsia" w:ascii="宋体" w:hAnsi="宋体" w:cs="宋体"/>
                <w:b/>
                <w:bCs/>
                <w:color w:val="auto"/>
                <w:sz w:val="24"/>
                <w:lang w:eastAsia="zh-CN"/>
              </w:rPr>
              <w:t>，</w:t>
            </w:r>
            <w:r>
              <w:rPr>
                <w:rFonts w:hint="eastAsia" w:ascii="宋体" w:hAnsi="宋体" w:cs="宋体"/>
                <w:b/>
                <w:bCs/>
                <w:color w:val="auto"/>
                <w:sz w:val="24"/>
                <w:lang w:val="en-US" w:eastAsia="zh-CN"/>
              </w:rPr>
              <w:t>时长请控制在10分钟内</w:t>
            </w:r>
            <w:r>
              <w:rPr>
                <w:rFonts w:hint="eastAsia" w:ascii="宋体" w:hAnsi="宋体" w:cs="宋体"/>
                <w:b/>
                <w:bCs/>
                <w:color w:val="auto"/>
                <w:sz w:val="24"/>
              </w:rPr>
              <w:t>。】</w:t>
            </w:r>
          </w:p>
          <w:p>
            <w:pPr>
              <w:rPr>
                <w:rFonts w:hint="eastAsia" w:ascii="宋体" w:hAnsi="宋体" w:eastAsia="宋体" w:cs="宋体"/>
                <w:b/>
                <w:bCs/>
                <w:color w:val="auto"/>
                <w:sz w:val="24"/>
              </w:rPr>
            </w:pPr>
            <w:r>
              <w:rPr>
                <w:rFonts w:hint="eastAsia" w:ascii="宋体" w:hAnsi="宋体" w:eastAsia="宋体" w:cs="宋体"/>
                <w:b/>
                <w:bCs/>
                <w:color w:val="auto"/>
                <w:sz w:val="24"/>
              </w:rPr>
              <w:t>投标人演示需求条款当中</w:t>
            </w:r>
            <w:r>
              <w:rPr>
                <w:rFonts w:hint="eastAsia" w:ascii="宋体" w:hAnsi="宋体" w:eastAsia="宋体" w:cs="宋体"/>
                <w:b/>
                <w:bCs/>
                <w:color w:val="auto"/>
                <w:sz w:val="24"/>
                <w:lang w:val="en-US" w:eastAsia="zh-CN"/>
              </w:rPr>
              <w:t>数</w:t>
            </w:r>
            <w:r>
              <w:rPr>
                <w:rFonts w:hint="eastAsia" w:ascii="宋体" w:hAnsi="宋体" w:eastAsia="宋体" w:cs="宋体"/>
                <w:b/>
                <w:bCs/>
                <w:color w:val="auto"/>
                <w:sz w:val="24"/>
              </w:rPr>
              <w:t>字写生与作品临摹系统</w:t>
            </w:r>
            <w:r>
              <w:rPr>
                <w:rFonts w:hint="eastAsia" w:ascii="宋体" w:hAnsi="宋体" w:eastAsia="宋体" w:cs="宋体"/>
                <w:b/>
                <w:bCs/>
                <w:color w:val="auto"/>
                <w:sz w:val="24"/>
                <w:lang w:val="en-US" w:eastAsia="zh-CN"/>
              </w:rPr>
              <w:t>，演示视频开始需演示人员讲明项目名称及项目编号，且演示过程清晰完整的讲解演示条款。需一镜到底不得存在剪辑等情况。</w:t>
            </w:r>
            <w:r>
              <w:rPr>
                <w:rFonts w:hint="eastAsia" w:ascii="宋体" w:hAnsi="宋体" w:eastAsia="宋体" w:cs="宋体"/>
                <w:b/>
                <w:bCs/>
                <w:color w:val="auto"/>
                <w:sz w:val="24"/>
              </w:rPr>
              <w:t>不演示投标无效</w:t>
            </w:r>
            <w:r>
              <w:rPr>
                <w:rFonts w:hint="eastAsia" w:ascii="宋体" w:hAnsi="宋体" w:eastAsia="宋体" w:cs="宋体"/>
                <w:b/>
                <w:bCs/>
                <w:color w:val="auto"/>
                <w:sz w:val="24"/>
                <w:lang w:eastAsia="zh-CN"/>
              </w:rPr>
              <w:t>，</w:t>
            </w:r>
            <w:r>
              <w:rPr>
                <w:rFonts w:hint="eastAsia" w:ascii="宋体" w:hAnsi="宋体" w:eastAsia="宋体" w:cs="宋体"/>
                <w:b/>
                <w:bCs/>
                <w:color w:val="auto"/>
                <w:sz w:val="24"/>
              </w:rPr>
              <w:t>演示需要的相关器材根据</w:t>
            </w:r>
            <w:r>
              <w:rPr>
                <w:rFonts w:hint="eastAsia" w:ascii="宋体" w:hAnsi="宋体" w:eastAsia="宋体" w:cs="宋体"/>
                <w:b/>
                <w:bCs/>
                <w:color w:val="auto"/>
                <w:sz w:val="24"/>
                <w:lang w:val="en-US" w:eastAsia="zh-CN"/>
              </w:rPr>
              <w:t>投标所选产品进行配备</w:t>
            </w:r>
            <w:r>
              <w:rPr>
                <w:rFonts w:hint="eastAsia" w:ascii="宋体" w:hAnsi="宋体" w:eastAsia="宋体" w:cs="宋体"/>
                <w:b/>
                <w:bCs/>
                <w:color w:val="auto"/>
                <w:sz w:val="24"/>
              </w:rPr>
              <w:t>。</w:t>
            </w:r>
          </w:p>
          <w:p>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1.数字写生与作品临摹系统（10分）</w:t>
            </w:r>
          </w:p>
          <w:p>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演示登陆系统打开数字写生模块，要求写生素材图片总数不少于1000张，要求其中静物写生素材不少于700张图片。演示选择石膏像静物写生素材，演示选择石膏像的不同角度，不同光线功能。演示满足功能的得2分，不满足或者不演示的得0分。</w:t>
            </w:r>
          </w:p>
          <w:p>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（2）演示在石膏像静物写生素材不少于5种图片操作功能，包括图片缩放、旋转角度、调整饱和度、对比度和亮度。演示满足功能的得2分，不满足或者不演示的得0分。</w:t>
            </w:r>
          </w:p>
          <w:p>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（3）演示在石膏像静物写生素材上添加不少于10种辅助线，包括正圆、椭圆、直角三角、等边三角、矩形、正方形、自由曲线、直线、虚线和箭头不同辅助线。演示满足功能的得2分，不满足或者不演示的得0分。</w:t>
            </w:r>
          </w:p>
          <w:p>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（4）演示根据静物写生素材自动生成素描线稿图功能。演示满足功能的得2分，不满足或者不演示的得0分。</w:t>
            </w:r>
          </w:p>
          <w:p>
            <w:pPr>
              <w:rPr>
                <w:rFonts w:ascii="宋体" w:hAnsi="宋体" w:cs="宋体"/>
                <w:color w:val="auto"/>
              </w:rPr>
            </w:pPr>
            <w:r>
              <w:rPr>
                <w:rFonts w:hint="eastAsia" w:ascii="宋体" w:hAnsi="宋体" w:eastAsia="宋体" w:cs="宋体"/>
                <w:color w:val="auto"/>
                <w:sz w:val="24"/>
                <w:lang w:val="en-US" w:eastAsia="zh-CN"/>
              </w:rPr>
              <w:t>（5）演示打开作品临摹系统，演示临摹素材不低于10种，包括马克笔、速写、素描、水粉画、油画、水彩画、彩铅画、中国画、版画和壁画不同类型素材，要求临摹素材总数不少于1500张，要求每种类型素材不少于100张；演示满足功能的得2分，不满足或者不演示的得0分。</w:t>
            </w:r>
          </w:p>
        </w:tc>
        <w:tc>
          <w:tcPr>
            <w:tcW w:w="1024" w:type="dxa"/>
            <w:tcBorders>
              <w:top w:val="single" w:color="000000" w:sz="6" w:space="0"/>
              <w:left w:val="single" w:color="000000" w:sz="6" w:space="0"/>
              <w:bottom w:val="single" w:color="000000" w:sz="6" w:space="0"/>
              <w:right w:val="double" w:color="000000" w:sz="6" w:space="0"/>
            </w:tcBorders>
            <w:noWrap w:val="0"/>
            <w:vAlign w:val="center"/>
          </w:tcPr>
          <w:p>
            <w:pPr>
              <w:jc w:val="center"/>
              <w:rPr>
                <w:rFonts w:ascii="宋体" w:hAnsi="宋体" w:cs="宋体"/>
                <w:bCs/>
                <w:caps/>
                <w:sz w:val="24"/>
              </w:rPr>
            </w:pPr>
            <w:r>
              <w:rPr>
                <w:rFonts w:hint="eastAsia" w:ascii="宋体" w:hAnsi="宋体" w:cs="宋体"/>
                <w:bCs/>
                <w:caps/>
                <w:sz w:val="24"/>
              </w:rPr>
              <w:t>0-10分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751" w:hRule="atLeast"/>
        </w:trPr>
        <w:tc>
          <w:tcPr>
            <w:tcW w:w="805" w:type="dxa"/>
            <w:tcBorders>
              <w:top w:val="single" w:color="000000" w:sz="6" w:space="0"/>
              <w:left w:val="double" w:color="000000" w:sz="6" w:space="0"/>
              <w:bottom w:val="single" w:color="000000" w:sz="6" w:space="0"/>
              <w:right w:val="single" w:color="000000" w:sz="6" w:space="0"/>
            </w:tcBorders>
            <w:noWrap w:val="0"/>
            <w:vAlign w:val="center"/>
          </w:tcPr>
          <w:p>
            <w:pPr>
              <w:jc w:val="center"/>
              <w:rPr>
                <w:rFonts w:ascii="宋体" w:hAnsi="宋体" w:cs="宋体"/>
                <w:b/>
                <w:bCs/>
                <w:sz w:val="24"/>
              </w:rPr>
            </w:pPr>
            <w:r>
              <w:rPr>
                <w:rFonts w:hint="eastAsia" w:ascii="宋体" w:hAnsi="宋体" w:cs="宋体"/>
                <w:b/>
                <w:bCs/>
                <w:sz w:val="24"/>
              </w:rPr>
              <w:t>二</w:t>
            </w:r>
          </w:p>
        </w:tc>
        <w:tc>
          <w:tcPr>
            <w:tcW w:w="7530" w:type="dxa"/>
            <w:gridSpan w:val="2"/>
            <w:tcBorders>
              <w:top w:val="single" w:color="000000" w:sz="6" w:space="0"/>
              <w:left w:val="single" w:color="000000" w:sz="6" w:space="0"/>
              <w:bottom w:val="single" w:color="000000" w:sz="6" w:space="0"/>
              <w:right w:val="single" w:color="000000" w:sz="6" w:space="0"/>
            </w:tcBorders>
            <w:noWrap w:val="0"/>
            <w:vAlign w:val="center"/>
          </w:tcPr>
          <w:p>
            <w:pPr>
              <w:pStyle w:val="55"/>
              <w:spacing w:beforeAutospacing="0" w:afterAutospacing="0" w:line="340" w:lineRule="exact"/>
              <w:jc w:val="center"/>
              <w:rPr>
                <w:rFonts w:cs="宋体"/>
                <w:b/>
                <w:bCs/>
                <w:kern w:val="2"/>
              </w:rPr>
            </w:pPr>
            <w:r>
              <w:rPr>
                <w:rFonts w:hint="eastAsia" w:cs="宋体"/>
                <w:b/>
                <w:bCs/>
              </w:rPr>
              <w:t>商务资信分</w:t>
            </w:r>
          </w:p>
        </w:tc>
        <w:tc>
          <w:tcPr>
            <w:tcW w:w="1024" w:type="dxa"/>
            <w:tcBorders>
              <w:top w:val="single" w:color="000000" w:sz="6" w:space="0"/>
              <w:left w:val="single" w:color="000000" w:sz="6" w:space="0"/>
              <w:bottom w:val="single" w:color="000000" w:sz="6" w:space="0"/>
              <w:right w:val="double" w:color="000000" w:sz="6" w:space="0"/>
            </w:tcBorders>
            <w:noWrap w:val="0"/>
            <w:vAlign w:val="center"/>
          </w:tcPr>
          <w:p>
            <w:pPr>
              <w:jc w:val="center"/>
              <w:rPr>
                <w:rFonts w:ascii="宋体" w:hAnsi="宋体" w:cs="宋体"/>
                <w:bCs/>
                <w:caps/>
                <w:sz w:val="24"/>
              </w:rPr>
            </w:pPr>
            <w:r>
              <w:rPr>
                <w:rFonts w:hint="eastAsia" w:ascii="宋体" w:hAnsi="宋体" w:cs="宋体"/>
                <w:b/>
                <w:bCs/>
                <w:kern w:val="0"/>
                <w:sz w:val="24"/>
                <w:lang w:val="en-US" w:eastAsia="zh-CN"/>
              </w:rPr>
              <w:t>17</w:t>
            </w:r>
            <w:r>
              <w:rPr>
                <w:rFonts w:hint="eastAsia" w:ascii="宋体" w:hAnsi="宋体" w:cs="宋体"/>
                <w:b/>
                <w:bCs/>
                <w:kern w:val="0"/>
                <w:sz w:val="24"/>
              </w:rPr>
              <w:t>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62" w:hRule="atLeast"/>
        </w:trPr>
        <w:tc>
          <w:tcPr>
            <w:tcW w:w="805" w:type="dxa"/>
            <w:tcBorders>
              <w:top w:val="single" w:color="000000" w:sz="6" w:space="0"/>
              <w:left w:val="double" w:color="000000" w:sz="6" w:space="0"/>
              <w:bottom w:val="single" w:color="000000" w:sz="6" w:space="0"/>
              <w:right w:val="single" w:color="000000" w:sz="6" w:space="0"/>
            </w:tcBorders>
            <w:noWrap w:val="0"/>
            <w:vAlign w:val="center"/>
          </w:tcPr>
          <w:p>
            <w:pPr>
              <w:jc w:val="center"/>
              <w:rPr>
                <w:rFonts w:ascii="宋体" w:hAnsi="宋体" w:cs="宋体"/>
                <w:sz w:val="24"/>
              </w:rPr>
            </w:pPr>
            <w:r>
              <w:rPr>
                <w:rFonts w:hint="eastAsia" w:ascii="宋体" w:hAnsi="宋体" w:cs="宋体"/>
                <w:sz w:val="24"/>
              </w:rPr>
              <w:t>5</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pPr>
              <w:jc w:val="center"/>
              <w:rPr>
                <w:rFonts w:ascii="宋体" w:hAnsi="宋体" w:cs="宋体"/>
                <w:bCs/>
                <w:sz w:val="24"/>
              </w:rPr>
            </w:pPr>
            <w:r>
              <w:rPr>
                <w:rFonts w:hint="eastAsia" w:ascii="宋体" w:hAnsi="宋体" w:cs="宋体"/>
                <w:bCs/>
                <w:sz w:val="24"/>
              </w:rPr>
              <w:t>售后服务方案</w:t>
            </w:r>
          </w:p>
        </w:tc>
        <w:tc>
          <w:tcPr>
            <w:tcW w:w="5910" w:type="dxa"/>
            <w:tcBorders>
              <w:top w:val="single" w:color="000000" w:sz="6" w:space="0"/>
              <w:left w:val="single" w:color="000000" w:sz="6" w:space="0"/>
              <w:bottom w:val="single" w:color="000000" w:sz="6" w:space="0"/>
              <w:right w:val="single" w:color="000000" w:sz="6" w:space="0"/>
            </w:tcBorders>
            <w:noWrap w:val="0"/>
            <w:vAlign w:val="center"/>
          </w:tcPr>
          <w:p>
            <w:pPr>
              <w:ind w:firstLine="480" w:firstLineChars="200"/>
              <w:rPr>
                <w:rFonts w:ascii="宋体" w:hAnsi="宋体" w:cs="宋体"/>
                <w:sz w:val="24"/>
              </w:rPr>
            </w:pPr>
            <w:r>
              <w:rPr>
                <w:rFonts w:hint="eastAsia" w:ascii="宋体" w:hAnsi="宋体" w:eastAsia="宋体" w:cs="宋体"/>
                <w:color w:val="auto"/>
                <w:kern w:val="2"/>
                <w:sz w:val="24"/>
                <w:szCs w:val="24"/>
                <w:lang w:val="en-US" w:eastAsia="zh-CN" w:bidi="ar-SA"/>
              </w:rPr>
              <w:t>针对投标人提供的售后服务内容、售后服务承诺（含培训）、免费保修期限、到达故障现场时间以及定期维护等内容进行综合评审，全面完善有效的得2分，基本满足要求的得1-1.5分，有欠缺的得0.5分。</w:t>
            </w:r>
          </w:p>
        </w:tc>
        <w:tc>
          <w:tcPr>
            <w:tcW w:w="1024" w:type="dxa"/>
            <w:tcBorders>
              <w:top w:val="single" w:color="000000" w:sz="6" w:space="0"/>
              <w:left w:val="single" w:color="000000" w:sz="6" w:space="0"/>
              <w:bottom w:val="single" w:color="000000" w:sz="6" w:space="0"/>
              <w:right w:val="double" w:color="000000" w:sz="6" w:space="0"/>
            </w:tcBorders>
            <w:noWrap w:val="0"/>
            <w:vAlign w:val="center"/>
          </w:tcPr>
          <w:p>
            <w:pPr>
              <w:jc w:val="center"/>
              <w:rPr>
                <w:rFonts w:ascii="宋体" w:hAnsi="宋体" w:cs="宋体"/>
                <w:bCs/>
                <w:sz w:val="24"/>
              </w:rPr>
            </w:pPr>
            <w:r>
              <w:rPr>
                <w:rFonts w:hint="eastAsia" w:ascii="宋体" w:hAnsi="宋体" w:cs="宋体"/>
                <w:bCs/>
                <w:sz w:val="24"/>
              </w:rPr>
              <w:t>0-2分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88" w:hRule="atLeast"/>
        </w:trPr>
        <w:tc>
          <w:tcPr>
            <w:tcW w:w="805" w:type="dxa"/>
            <w:tcBorders>
              <w:top w:val="single" w:color="000000" w:sz="6" w:space="0"/>
              <w:left w:val="double" w:color="000000" w:sz="6" w:space="0"/>
              <w:right w:val="single" w:color="000000" w:sz="6" w:space="0"/>
            </w:tcBorders>
            <w:noWrap w:val="0"/>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6</w:t>
            </w:r>
          </w:p>
        </w:tc>
        <w:tc>
          <w:tcPr>
            <w:tcW w:w="1620" w:type="dxa"/>
            <w:tcBorders>
              <w:top w:val="single" w:color="000000" w:sz="6" w:space="0"/>
              <w:left w:val="single" w:color="000000" w:sz="6" w:space="0"/>
              <w:right w:val="single" w:color="000000" w:sz="6" w:space="0"/>
            </w:tcBorders>
            <w:noWrap w:val="0"/>
            <w:vAlign w:val="center"/>
          </w:tcPr>
          <w:p>
            <w:pPr>
              <w:pStyle w:val="23"/>
              <w:spacing w:line="340" w:lineRule="exact"/>
              <w:ind w:firstLine="0" w:firstLineChars="0"/>
              <w:jc w:val="center"/>
              <w:rPr>
                <w:rFonts w:cs="宋体"/>
                <w:bCs/>
                <w:color w:val="0000FF"/>
              </w:rPr>
            </w:pPr>
            <w:r>
              <w:rPr>
                <w:rFonts w:hint="eastAsia" w:cs="宋体"/>
                <w:bCs/>
              </w:rPr>
              <w:t>检测、测试报告</w:t>
            </w:r>
          </w:p>
        </w:tc>
        <w:tc>
          <w:tcPr>
            <w:tcW w:w="5910" w:type="dxa"/>
            <w:tcBorders>
              <w:top w:val="single" w:color="000000" w:sz="6" w:space="0"/>
              <w:left w:val="single" w:color="000000" w:sz="6" w:space="0"/>
              <w:bottom w:val="single" w:color="auto" w:sz="4" w:space="0"/>
              <w:right w:val="single" w:color="000000" w:sz="6" w:space="0"/>
            </w:tcBorders>
            <w:noWrap w:val="0"/>
            <w:vAlign w:val="center"/>
          </w:tcPr>
          <w:p>
            <w:pPr>
              <w:pStyle w:val="55"/>
              <w:spacing w:beforeAutospacing="0" w:afterAutospacing="0" w:line="340" w:lineRule="exact"/>
              <w:ind w:firstLine="482" w:firstLineChars="200"/>
              <w:rPr>
                <w:rFonts w:cs="宋体"/>
                <w:b/>
                <w:bCs/>
                <w:kern w:val="2"/>
              </w:rPr>
            </w:pPr>
            <w:r>
              <w:rPr>
                <w:rFonts w:hint="eastAsia" w:cs="宋体"/>
                <w:b/>
                <w:bCs/>
                <w:kern w:val="2"/>
              </w:rPr>
              <w:t>以下所投产品需提供相关检测报告，每提供一个得1分，共</w:t>
            </w:r>
            <w:r>
              <w:rPr>
                <w:rFonts w:hint="eastAsia" w:cs="宋体"/>
                <w:b/>
                <w:bCs/>
                <w:kern w:val="2"/>
                <w:lang w:val="en-US" w:eastAsia="zh-CN"/>
              </w:rPr>
              <w:t>9</w:t>
            </w:r>
            <w:r>
              <w:rPr>
                <w:rFonts w:hint="eastAsia" w:cs="宋体"/>
                <w:b/>
                <w:bCs/>
                <w:kern w:val="2"/>
              </w:rPr>
              <w:t>分。所提供的材料必须保证真实有效，否则本项不得分。</w:t>
            </w:r>
          </w:p>
          <w:p>
            <w:pPr>
              <w:pStyle w:val="55"/>
              <w:spacing w:beforeAutospacing="0" w:afterAutospacing="0" w:line="340" w:lineRule="exact"/>
              <w:rPr>
                <w:rFonts w:hint="eastAsia" w:ascii="宋体" w:hAnsi="宋体" w:eastAsia="宋体" w:cs="宋体"/>
                <w:color w:val="auto"/>
                <w:kern w:val="2"/>
                <w:lang w:val="en-US" w:eastAsia="zh-CN"/>
              </w:rPr>
            </w:pPr>
            <w:r>
              <w:rPr>
                <w:rFonts w:hint="eastAsia" w:ascii="宋体" w:hAnsi="宋体" w:eastAsia="宋体" w:cs="宋体"/>
                <w:color w:val="auto"/>
                <w:kern w:val="2"/>
                <w:lang w:val="en-US" w:eastAsia="zh-CN"/>
              </w:rPr>
              <w:t>（1）音箱设备频率：65HZ-20KHZ，提供省级含以上检测报告，0-1分；</w:t>
            </w:r>
          </w:p>
          <w:p>
            <w:pPr>
              <w:pStyle w:val="55"/>
              <w:spacing w:beforeAutospacing="0" w:afterAutospacing="0" w:line="340" w:lineRule="exact"/>
              <w:rPr>
                <w:rFonts w:hint="eastAsia" w:ascii="宋体" w:hAnsi="宋体" w:eastAsia="宋体" w:cs="宋体"/>
                <w:color w:val="auto"/>
                <w:kern w:val="2"/>
                <w:lang w:val="en-US" w:eastAsia="zh-CN"/>
              </w:rPr>
            </w:pPr>
            <w:r>
              <w:rPr>
                <w:rFonts w:hint="eastAsia" w:ascii="宋体" w:hAnsi="宋体" w:eastAsia="宋体" w:cs="宋体"/>
                <w:color w:val="auto"/>
                <w:kern w:val="2"/>
                <w:lang w:val="en-US" w:eastAsia="zh-CN"/>
              </w:rPr>
              <w:t>（2）音箱灵敏度：90dB(±2dB)，提供省级含以上检测报告复印件，0-1分。</w:t>
            </w:r>
          </w:p>
          <w:p>
            <w:pPr>
              <w:pStyle w:val="55"/>
              <w:spacing w:beforeAutospacing="0" w:afterAutospacing="0" w:line="340" w:lineRule="exact"/>
              <w:rPr>
                <w:rFonts w:hint="eastAsia" w:ascii="宋体" w:hAnsi="宋体" w:eastAsia="宋体" w:cs="宋体"/>
                <w:color w:val="auto"/>
                <w:kern w:val="2"/>
                <w:lang w:val="en-US" w:eastAsia="zh-CN"/>
              </w:rPr>
            </w:pPr>
            <w:r>
              <w:rPr>
                <w:rFonts w:hint="eastAsia" w:ascii="宋体" w:hAnsi="宋体" w:eastAsia="宋体" w:cs="宋体"/>
                <w:color w:val="auto"/>
                <w:kern w:val="2"/>
                <w:lang w:val="en-US" w:eastAsia="zh-CN"/>
              </w:rPr>
              <w:t>（3）音箱额定阻抗：4Ω，提供省级含以上检测报告复印件，0-1分。</w:t>
            </w:r>
          </w:p>
          <w:p>
            <w:pPr>
              <w:pStyle w:val="55"/>
              <w:spacing w:beforeAutospacing="0" w:afterAutospacing="0" w:line="340" w:lineRule="exact"/>
              <w:rPr>
                <w:rFonts w:hint="eastAsia" w:ascii="宋体" w:hAnsi="宋体" w:eastAsia="宋体" w:cs="宋体"/>
                <w:color w:val="auto"/>
                <w:kern w:val="2"/>
                <w:lang w:val="en-US" w:eastAsia="zh-CN"/>
              </w:rPr>
            </w:pPr>
            <w:r>
              <w:rPr>
                <w:rFonts w:hint="eastAsia" w:ascii="宋体" w:hAnsi="宋体" w:eastAsia="宋体" w:cs="宋体"/>
                <w:color w:val="auto"/>
                <w:kern w:val="2"/>
                <w:lang w:val="en-US" w:eastAsia="zh-CN"/>
              </w:rPr>
              <w:t>（4）需提供原材料，</w:t>
            </w:r>
            <w:r>
              <w:rPr>
                <w:rFonts w:hint="default" w:ascii="宋体" w:hAnsi="宋体" w:eastAsia="宋体" w:cs="宋体"/>
                <w:color w:val="auto"/>
                <w:kern w:val="2"/>
                <w:lang w:val="en-US" w:eastAsia="zh-CN"/>
              </w:rPr>
              <w:t>抗倍特板需满足依据QB/T 4456- 2013 (2017)家具用高强度装饰台面板、GB 18584- 2001室内装饰装修材料木家具中有害物质限量；耐酸、耐碱、耐香烟灼烧、耐冷热循环、耐划痕、甲醛释放量等检测内容符合国家标准。(需提供第三方权威机构出具的检测报告复印件）</w:t>
            </w:r>
            <w:r>
              <w:rPr>
                <w:rFonts w:hint="eastAsia" w:ascii="宋体" w:hAnsi="宋体" w:eastAsia="宋体" w:cs="宋体"/>
                <w:color w:val="auto"/>
                <w:kern w:val="2"/>
                <w:lang w:val="en-US" w:eastAsia="zh-CN"/>
              </w:rPr>
              <w:t>（0-1分）</w:t>
            </w:r>
          </w:p>
          <w:p>
            <w:pPr>
              <w:pStyle w:val="55"/>
              <w:spacing w:beforeAutospacing="0" w:afterAutospacing="0" w:line="340" w:lineRule="exact"/>
              <w:rPr>
                <w:rFonts w:hint="eastAsia" w:ascii="宋体" w:hAnsi="宋体" w:eastAsia="宋体" w:cs="宋体"/>
                <w:color w:val="auto"/>
                <w:kern w:val="2"/>
                <w:lang w:val="en-US" w:eastAsia="zh-CN"/>
              </w:rPr>
            </w:pPr>
            <w:r>
              <w:rPr>
                <w:rFonts w:hint="eastAsia" w:ascii="宋体" w:hAnsi="宋体" w:eastAsia="宋体" w:cs="宋体"/>
                <w:color w:val="auto"/>
                <w:kern w:val="2"/>
                <w:lang w:val="en-US" w:eastAsia="zh-CN"/>
              </w:rPr>
              <w:t>（5）需提供原材料，实木多层板满足依据GB/T34722-2007浸渍胶膜纸饰面胶合板和细木工板，GB 18584-2001室内装饰装修材料木家具中有害物质限量，含水率表面胶合强度，甲醛释放量</w:t>
            </w:r>
            <w:r>
              <w:rPr>
                <w:rFonts w:hint="default" w:ascii="宋体" w:hAnsi="宋体" w:eastAsia="宋体" w:cs="宋体"/>
                <w:color w:val="auto"/>
                <w:kern w:val="2"/>
                <w:lang w:val="en-US" w:eastAsia="zh-CN"/>
              </w:rPr>
              <w:t>等检测内容符合国家标准。(需提供第三方权威机构出具的检测报告复印件）</w:t>
            </w:r>
            <w:r>
              <w:rPr>
                <w:rFonts w:hint="eastAsia" w:ascii="宋体" w:hAnsi="宋体" w:eastAsia="宋体" w:cs="宋体"/>
                <w:color w:val="auto"/>
                <w:kern w:val="2"/>
                <w:lang w:val="en-US" w:eastAsia="zh-CN"/>
              </w:rPr>
              <w:t>（0-1分）</w:t>
            </w:r>
          </w:p>
          <w:p>
            <w:pPr>
              <w:pStyle w:val="55"/>
              <w:spacing w:beforeAutospacing="0" w:afterAutospacing="0" w:line="340" w:lineRule="exact"/>
              <w:rPr>
                <w:rFonts w:hint="eastAsia" w:ascii="宋体" w:hAnsi="宋体" w:eastAsia="宋体" w:cs="宋体"/>
                <w:color w:val="auto"/>
                <w:kern w:val="2"/>
                <w:lang w:val="en-US" w:eastAsia="zh-CN"/>
              </w:rPr>
            </w:pPr>
            <w:r>
              <w:rPr>
                <w:rFonts w:hint="eastAsia" w:ascii="宋体" w:hAnsi="宋体" w:eastAsia="宋体" w:cs="宋体"/>
                <w:color w:val="auto"/>
                <w:kern w:val="2"/>
                <w:lang w:val="en-US" w:eastAsia="zh-CN"/>
              </w:rPr>
              <w:t>（6）需提供原材料，烤漆粉满足依据HG/T2006-2006（2017）热固性粉末涂料重金属未检出</w:t>
            </w:r>
            <w:r>
              <w:rPr>
                <w:rFonts w:hint="default" w:ascii="宋体" w:hAnsi="宋体" w:eastAsia="宋体" w:cs="宋体"/>
                <w:color w:val="auto"/>
                <w:kern w:val="2"/>
                <w:lang w:val="en-US" w:eastAsia="zh-CN"/>
              </w:rPr>
              <w:t>(需提供第三方权威机构出具的检测报告复印件）</w:t>
            </w:r>
            <w:r>
              <w:rPr>
                <w:rFonts w:hint="eastAsia" w:ascii="宋体" w:hAnsi="宋体" w:eastAsia="宋体" w:cs="宋体"/>
                <w:color w:val="auto"/>
                <w:kern w:val="2"/>
                <w:lang w:val="en-US" w:eastAsia="zh-CN"/>
              </w:rPr>
              <w:t>（0-1分）</w:t>
            </w:r>
          </w:p>
          <w:p>
            <w:pPr>
              <w:pStyle w:val="55"/>
              <w:spacing w:beforeAutospacing="0" w:afterAutospacing="0" w:line="340" w:lineRule="exact"/>
              <w:rPr>
                <w:rFonts w:cs="宋体"/>
                <w:kern w:val="2"/>
              </w:rPr>
            </w:pPr>
            <w:r>
              <w:rPr>
                <w:rFonts w:hint="eastAsia" w:ascii="宋体" w:hAnsi="宋体" w:eastAsia="宋体" w:cs="宋体"/>
                <w:color w:val="auto"/>
                <w:kern w:val="2"/>
                <w:lang w:val="en-US" w:eastAsia="zh-CN"/>
              </w:rPr>
              <w:t>（7）需提供乐器，“</w:t>
            </w:r>
            <w:r>
              <w:rPr>
                <w:rFonts w:hint="default" w:ascii="宋体" w:hAnsi="宋体" w:eastAsia="宋体" w:cs="宋体"/>
                <w:color w:val="auto"/>
                <w:kern w:val="2"/>
                <w:lang w:val="en-US" w:eastAsia="zh-CN"/>
              </w:rPr>
              <w:t>沙锤</w:t>
            </w:r>
            <w:r>
              <w:rPr>
                <w:rFonts w:hint="eastAsia" w:ascii="宋体" w:hAnsi="宋体" w:eastAsia="宋体" w:cs="宋体"/>
                <w:color w:val="auto"/>
                <w:kern w:val="2"/>
                <w:lang w:val="en-US" w:eastAsia="zh-CN"/>
              </w:rPr>
              <w:t>”，“</w:t>
            </w:r>
            <w:r>
              <w:rPr>
                <w:rFonts w:hint="default" w:ascii="宋体" w:hAnsi="宋体" w:eastAsia="宋体" w:cs="宋体"/>
                <w:color w:val="auto"/>
                <w:kern w:val="2"/>
                <w:lang w:val="en-US" w:eastAsia="zh-CN"/>
              </w:rPr>
              <w:t>南梆子</w:t>
            </w:r>
            <w:r>
              <w:rPr>
                <w:rFonts w:hint="eastAsia" w:ascii="宋体" w:hAnsi="宋体" w:eastAsia="宋体" w:cs="宋体"/>
                <w:color w:val="auto"/>
                <w:kern w:val="2"/>
                <w:lang w:val="en-US" w:eastAsia="zh-CN"/>
              </w:rPr>
              <w:t>”，“</w:t>
            </w:r>
            <w:r>
              <w:rPr>
                <w:rFonts w:hint="default" w:ascii="宋体" w:hAnsi="宋体" w:eastAsia="宋体" w:cs="宋体"/>
                <w:color w:val="auto"/>
                <w:kern w:val="2"/>
                <w:lang w:val="en-US" w:eastAsia="zh-CN"/>
              </w:rPr>
              <w:t>中虎音锣</w:t>
            </w:r>
            <w:r>
              <w:rPr>
                <w:rFonts w:hint="eastAsia" w:ascii="宋体" w:hAnsi="宋体" w:eastAsia="宋体" w:cs="宋体"/>
                <w:color w:val="auto"/>
                <w:kern w:val="2"/>
                <w:lang w:val="en-US" w:eastAsia="zh-CN"/>
              </w:rPr>
              <w:t>”满足依据GB/T28489-2012《乐器有害物质限量》，挥发性有害物质限量（甲醛）</w:t>
            </w:r>
            <w:r>
              <w:rPr>
                <w:rFonts w:hint="default" w:ascii="宋体" w:hAnsi="宋体" w:eastAsia="宋体" w:cs="宋体"/>
                <w:color w:val="auto"/>
                <w:kern w:val="2"/>
                <w:lang w:val="en-US" w:eastAsia="zh-CN"/>
              </w:rPr>
              <w:t>检测内容符合国家标准(需提供第三方权威机构出具的检测报告复印件）</w:t>
            </w:r>
            <w:r>
              <w:rPr>
                <w:rFonts w:hint="eastAsia" w:ascii="宋体" w:hAnsi="宋体" w:eastAsia="宋体" w:cs="宋体"/>
                <w:color w:val="auto"/>
                <w:kern w:val="2"/>
                <w:lang w:val="en-US" w:eastAsia="zh-CN"/>
              </w:rPr>
              <w:t>，每提供一个得1分，共3分。（0-3分）</w:t>
            </w:r>
          </w:p>
        </w:tc>
        <w:tc>
          <w:tcPr>
            <w:tcW w:w="1024" w:type="dxa"/>
            <w:tcBorders>
              <w:top w:val="single" w:color="000000" w:sz="6" w:space="0"/>
              <w:left w:val="single" w:color="000000" w:sz="6" w:space="0"/>
              <w:bottom w:val="single" w:color="auto" w:sz="4" w:space="0"/>
              <w:right w:val="double" w:color="000000" w:sz="6" w:space="0"/>
            </w:tcBorders>
            <w:noWrap w:val="0"/>
            <w:vAlign w:val="center"/>
          </w:tcPr>
          <w:p>
            <w:pPr>
              <w:jc w:val="center"/>
              <w:rPr>
                <w:rFonts w:ascii="宋体" w:hAnsi="宋体" w:cs="宋体"/>
                <w:bCs/>
                <w:sz w:val="24"/>
              </w:rPr>
            </w:pPr>
            <w:r>
              <w:rPr>
                <w:rFonts w:hint="eastAsia" w:ascii="宋体" w:hAnsi="宋体" w:cs="宋体"/>
                <w:bCs/>
                <w:sz w:val="24"/>
              </w:rPr>
              <w:t>0-</w:t>
            </w:r>
            <w:r>
              <w:rPr>
                <w:rFonts w:hint="eastAsia" w:ascii="宋体" w:hAnsi="宋体" w:cs="宋体"/>
                <w:bCs/>
                <w:sz w:val="24"/>
                <w:lang w:val="en-US" w:eastAsia="zh-CN"/>
              </w:rPr>
              <w:t>9</w:t>
            </w:r>
            <w:r>
              <w:rPr>
                <w:rFonts w:hint="eastAsia" w:ascii="宋体" w:hAnsi="宋体" w:cs="宋体"/>
                <w:bCs/>
                <w:sz w:val="24"/>
              </w:rPr>
              <w:t>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141" w:hRule="atLeast"/>
        </w:trPr>
        <w:tc>
          <w:tcPr>
            <w:tcW w:w="805" w:type="dxa"/>
            <w:tcBorders>
              <w:top w:val="single" w:color="000000" w:sz="6" w:space="0"/>
              <w:left w:val="double" w:color="000000" w:sz="6" w:space="0"/>
              <w:bottom w:val="single" w:color="000000" w:sz="6" w:space="0"/>
              <w:right w:val="single" w:color="000000" w:sz="6" w:space="0"/>
            </w:tcBorders>
            <w:noWrap w:val="0"/>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7</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pPr>
              <w:pStyle w:val="23"/>
              <w:spacing w:line="340" w:lineRule="exact"/>
              <w:ind w:firstLine="0" w:firstLineChars="0"/>
              <w:jc w:val="center"/>
              <w:rPr>
                <w:rFonts w:cs="宋体"/>
                <w:bCs/>
              </w:rPr>
            </w:pPr>
            <w:r>
              <w:rPr>
                <w:rFonts w:hint="eastAsia" w:cs="宋体"/>
                <w:bCs/>
              </w:rPr>
              <w:t>企业业绩</w:t>
            </w:r>
          </w:p>
        </w:tc>
        <w:tc>
          <w:tcPr>
            <w:tcW w:w="5910" w:type="dxa"/>
            <w:tcBorders>
              <w:top w:val="single" w:color="000000" w:sz="6" w:space="0"/>
              <w:left w:val="single" w:color="000000" w:sz="6" w:space="0"/>
              <w:bottom w:val="single" w:color="000000" w:sz="6" w:space="0"/>
              <w:right w:val="single" w:color="000000" w:sz="6" w:space="0"/>
            </w:tcBorders>
            <w:noWrap w:val="0"/>
            <w:vAlign w:val="center"/>
          </w:tcPr>
          <w:p>
            <w:pPr>
              <w:pStyle w:val="55"/>
              <w:spacing w:beforeAutospacing="0" w:afterAutospacing="0" w:line="340" w:lineRule="exact"/>
              <w:rPr>
                <w:rFonts w:cs="宋体"/>
                <w:color w:val="auto"/>
                <w:kern w:val="2"/>
              </w:rPr>
            </w:pPr>
            <w:r>
              <w:rPr>
                <w:rFonts w:hint="eastAsia" w:cs="宋体"/>
                <w:color w:val="auto"/>
                <w:kern w:val="2"/>
              </w:rPr>
              <w:t>根据投标人签订合同时间为20</w:t>
            </w:r>
            <w:r>
              <w:rPr>
                <w:rFonts w:hint="eastAsia" w:cs="宋体"/>
                <w:color w:val="auto"/>
                <w:kern w:val="2"/>
                <w:lang w:val="en-US" w:eastAsia="zh-CN"/>
              </w:rPr>
              <w:t>20</w:t>
            </w:r>
            <w:r>
              <w:rPr>
                <w:rFonts w:hint="eastAsia" w:cs="宋体"/>
                <w:color w:val="auto"/>
                <w:kern w:val="2"/>
              </w:rPr>
              <w:t>年1月1日至今</w:t>
            </w:r>
            <w:r>
              <w:rPr>
                <w:rFonts w:hint="eastAsia" w:cs="宋体"/>
                <w:color w:val="auto"/>
                <w:kern w:val="2"/>
                <w:lang w:val="en-US" w:eastAsia="zh-CN"/>
              </w:rPr>
              <w:t>类似</w:t>
            </w:r>
            <w:r>
              <w:rPr>
                <w:rFonts w:hint="eastAsia" w:cs="宋体"/>
                <w:color w:val="auto"/>
                <w:kern w:val="2"/>
              </w:rPr>
              <w:t>项目</w:t>
            </w:r>
            <w:r>
              <w:rPr>
                <w:rFonts w:hint="eastAsia" w:cs="宋体"/>
                <w:color w:val="auto"/>
                <w:kern w:val="2"/>
                <w:lang w:val="en-US" w:eastAsia="zh-CN"/>
              </w:rPr>
              <w:t>业绩</w:t>
            </w:r>
            <w:r>
              <w:rPr>
                <w:rFonts w:hint="eastAsia" w:cs="宋体"/>
                <w:color w:val="auto"/>
                <w:kern w:val="2"/>
              </w:rPr>
              <w:t>进行评定：每提供一个</w:t>
            </w:r>
            <w:r>
              <w:rPr>
                <w:rFonts w:hint="eastAsia" w:cs="宋体"/>
                <w:color w:val="auto"/>
                <w:kern w:val="2"/>
                <w:lang w:val="en-US" w:eastAsia="zh-CN"/>
              </w:rPr>
              <w:t>类似</w:t>
            </w:r>
            <w:r>
              <w:rPr>
                <w:rFonts w:hint="eastAsia" w:cs="宋体"/>
                <w:color w:val="auto"/>
                <w:kern w:val="2"/>
              </w:rPr>
              <w:t>项目</w:t>
            </w:r>
            <w:r>
              <w:rPr>
                <w:rFonts w:hint="eastAsia" w:cs="宋体"/>
                <w:color w:val="auto"/>
                <w:kern w:val="2"/>
                <w:lang w:val="en-US" w:eastAsia="zh-CN"/>
              </w:rPr>
              <w:t>业绩</w:t>
            </w:r>
            <w:r>
              <w:rPr>
                <w:rFonts w:hint="eastAsia" w:cs="宋体"/>
                <w:color w:val="auto"/>
                <w:kern w:val="2"/>
              </w:rPr>
              <w:t>得1分，最多得2分</w:t>
            </w:r>
            <w:r>
              <w:rPr>
                <w:rFonts w:hint="eastAsia" w:cs="宋体"/>
                <w:b/>
                <w:bCs/>
                <w:color w:val="auto"/>
                <w:kern w:val="2"/>
              </w:rPr>
              <w:t>(提供合同</w:t>
            </w:r>
            <w:r>
              <w:rPr>
                <w:rFonts w:hint="eastAsia" w:ascii="宋体" w:hAnsi="宋体" w:eastAsia="宋体" w:cs="宋体"/>
                <w:b/>
                <w:bCs/>
                <w:color w:val="auto"/>
                <w:kern w:val="2"/>
                <w:lang w:val="en-US" w:eastAsia="zh-CN"/>
              </w:rPr>
              <w:t>及</w:t>
            </w:r>
            <w:r>
              <w:rPr>
                <w:rFonts w:hint="eastAsia" w:ascii="宋体" w:hAnsi="宋体" w:eastAsia="宋体" w:cs="宋体"/>
                <w:b/>
                <w:bCs/>
                <w:color w:val="auto"/>
                <w:kern w:val="2"/>
              </w:rPr>
              <w:t>业主验收报告复印</w:t>
            </w:r>
            <w:r>
              <w:rPr>
                <w:rFonts w:hint="eastAsia" w:cs="宋体"/>
                <w:b/>
                <w:bCs/>
                <w:color w:val="auto"/>
                <w:kern w:val="2"/>
              </w:rPr>
              <w:t>件加盖公章)</w:t>
            </w:r>
            <w:r>
              <w:rPr>
                <w:rFonts w:hint="eastAsia" w:cs="宋体"/>
                <w:color w:val="auto"/>
                <w:kern w:val="2"/>
              </w:rPr>
              <w:t>。</w:t>
            </w:r>
          </w:p>
        </w:tc>
        <w:tc>
          <w:tcPr>
            <w:tcW w:w="1024" w:type="dxa"/>
            <w:tcBorders>
              <w:top w:val="single" w:color="000000" w:sz="6" w:space="0"/>
              <w:left w:val="single" w:color="000000" w:sz="6" w:space="0"/>
              <w:bottom w:val="single" w:color="000000" w:sz="6" w:space="0"/>
              <w:right w:val="double" w:color="000000" w:sz="6" w:space="0"/>
            </w:tcBorders>
            <w:noWrap w:val="0"/>
            <w:vAlign w:val="center"/>
          </w:tcPr>
          <w:p>
            <w:pPr>
              <w:jc w:val="center"/>
              <w:rPr>
                <w:rFonts w:ascii="宋体" w:hAnsi="宋体" w:cs="宋体"/>
                <w:bCs/>
                <w:sz w:val="24"/>
              </w:rPr>
            </w:pPr>
            <w:r>
              <w:rPr>
                <w:rFonts w:hint="eastAsia" w:ascii="宋体" w:hAnsi="宋体" w:cs="宋体"/>
                <w:bCs/>
                <w:sz w:val="24"/>
              </w:rPr>
              <w:t>0-2分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372" w:hRule="atLeast"/>
        </w:trPr>
        <w:tc>
          <w:tcPr>
            <w:tcW w:w="805" w:type="dxa"/>
            <w:tcBorders>
              <w:top w:val="single" w:color="000000" w:sz="6" w:space="0"/>
              <w:left w:val="double" w:color="000000" w:sz="6" w:space="0"/>
              <w:bottom w:val="single" w:color="auto" w:sz="4" w:space="0"/>
              <w:right w:val="single" w:color="000000" w:sz="6" w:space="0"/>
            </w:tcBorders>
            <w:noWrap w:val="0"/>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8</w:t>
            </w:r>
          </w:p>
        </w:tc>
        <w:tc>
          <w:tcPr>
            <w:tcW w:w="1620" w:type="dxa"/>
            <w:tcBorders>
              <w:top w:val="single" w:color="000000" w:sz="6" w:space="0"/>
              <w:left w:val="single" w:color="000000" w:sz="6" w:space="0"/>
              <w:bottom w:val="single" w:color="auto" w:sz="4" w:space="0"/>
              <w:right w:val="single" w:color="000000" w:sz="6" w:space="0"/>
            </w:tcBorders>
            <w:noWrap w:val="0"/>
            <w:vAlign w:val="center"/>
          </w:tcPr>
          <w:p>
            <w:pPr>
              <w:pStyle w:val="23"/>
              <w:spacing w:line="340" w:lineRule="exact"/>
              <w:ind w:firstLine="0" w:firstLineChars="0"/>
              <w:jc w:val="center"/>
              <w:rPr>
                <w:rFonts w:hint="default" w:eastAsia="宋体" w:cs="宋体"/>
                <w:bCs/>
                <w:lang w:val="en-US" w:eastAsia="zh-CN"/>
              </w:rPr>
            </w:pPr>
            <w:r>
              <w:rPr>
                <w:rFonts w:hint="eastAsia" w:cs="宋体"/>
                <w:bCs/>
                <w:lang w:val="en-US" w:eastAsia="zh-CN"/>
              </w:rPr>
              <w:t>权威认证</w:t>
            </w:r>
          </w:p>
        </w:tc>
        <w:tc>
          <w:tcPr>
            <w:tcW w:w="5910" w:type="dxa"/>
            <w:tcBorders>
              <w:top w:val="single" w:color="000000" w:sz="6" w:space="0"/>
              <w:left w:val="single" w:color="000000" w:sz="6" w:space="0"/>
              <w:bottom w:val="single" w:color="auto" w:sz="4" w:space="0"/>
              <w:right w:val="single" w:color="000000" w:sz="6" w:space="0"/>
            </w:tcBorders>
            <w:noWrap w:val="0"/>
            <w:vAlign w:val="center"/>
          </w:tcPr>
          <w:p>
            <w:pPr>
              <w:pStyle w:val="55"/>
              <w:spacing w:beforeAutospacing="0" w:afterAutospacing="0" w:line="340" w:lineRule="exact"/>
              <w:rPr>
                <w:rFonts w:hint="eastAsia" w:ascii="宋体" w:hAnsi="宋体" w:eastAsia="宋体" w:cs="宋体"/>
                <w:color w:val="auto"/>
                <w:kern w:val="2"/>
              </w:rPr>
            </w:pPr>
            <w:r>
              <w:rPr>
                <w:rFonts w:hint="eastAsia" w:ascii="宋体" w:hAnsi="宋体" w:eastAsia="宋体" w:cs="宋体"/>
                <w:color w:val="auto"/>
                <w:kern w:val="2"/>
              </w:rPr>
              <w:t>1、投标人具备有效质量管理体系认证证书的得</w:t>
            </w:r>
            <w:r>
              <w:rPr>
                <w:rFonts w:hint="eastAsia" w:ascii="宋体" w:hAnsi="宋体" w:eastAsia="宋体" w:cs="宋体"/>
                <w:color w:val="auto"/>
                <w:kern w:val="2"/>
                <w:lang w:val="en-US" w:eastAsia="zh-CN"/>
              </w:rPr>
              <w:t>1</w:t>
            </w:r>
            <w:r>
              <w:rPr>
                <w:rFonts w:hint="eastAsia" w:ascii="宋体" w:hAnsi="宋体" w:eastAsia="宋体" w:cs="宋体"/>
                <w:color w:val="auto"/>
                <w:kern w:val="2"/>
              </w:rPr>
              <w:t>分；</w:t>
            </w:r>
          </w:p>
          <w:p>
            <w:pPr>
              <w:pStyle w:val="55"/>
              <w:spacing w:beforeAutospacing="0" w:afterAutospacing="0" w:line="340" w:lineRule="exact"/>
              <w:rPr>
                <w:rFonts w:hint="eastAsia" w:ascii="宋体" w:hAnsi="宋体" w:eastAsia="宋体" w:cs="宋体"/>
                <w:color w:val="auto"/>
                <w:kern w:val="2"/>
              </w:rPr>
            </w:pPr>
            <w:r>
              <w:rPr>
                <w:rFonts w:hint="eastAsia" w:ascii="宋体" w:hAnsi="宋体" w:eastAsia="宋体" w:cs="宋体"/>
                <w:color w:val="auto"/>
                <w:kern w:val="2"/>
              </w:rPr>
              <w:t>2、投标人具备有效环境管理体系认证证书得</w:t>
            </w:r>
            <w:r>
              <w:rPr>
                <w:rFonts w:hint="eastAsia" w:ascii="宋体" w:hAnsi="宋体" w:eastAsia="宋体" w:cs="宋体"/>
                <w:color w:val="auto"/>
                <w:kern w:val="2"/>
                <w:lang w:val="en-US" w:eastAsia="zh-CN"/>
              </w:rPr>
              <w:t>1</w:t>
            </w:r>
            <w:r>
              <w:rPr>
                <w:rFonts w:hint="eastAsia" w:ascii="宋体" w:hAnsi="宋体" w:eastAsia="宋体" w:cs="宋体"/>
                <w:color w:val="auto"/>
                <w:kern w:val="2"/>
              </w:rPr>
              <w:t>分；</w:t>
            </w:r>
          </w:p>
          <w:p>
            <w:pPr>
              <w:pStyle w:val="55"/>
              <w:spacing w:beforeAutospacing="0" w:afterAutospacing="0" w:line="340" w:lineRule="exact"/>
              <w:rPr>
                <w:rFonts w:hint="eastAsia" w:ascii="宋体" w:hAnsi="宋体" w:eastAsia="宋体" w:cs="宋体"/>
                <w:color w:val="auto"/>
                <w:kern w:val="2"/>
              </w:rPr>
            </w:pPr>
            <w:r>
              <w:rPr>
                <w:rFonts w:hint="eastAsia" w:ascii="宋体" w:hAnsi="宋体" w:eastAsia="宋体" w:cs="宋体"/>
                <w:color w:val="auto"/>
                <w:kern w:val="2"/>
              </w:rPr>
              <w:t>3、投标人具备有效职业健康体系认证证书得</w:t>
            </w:r>
            <w:r>
              <w:rPr>
                <w:rFonts w:hint="eastAsia" w:ascii="宋体" w:hAnsi="宋体" w:eastAsia="宋体" w:cs="宋体"/>
                <w:color w:val="auto"/>
                <w:kern w:val="2"/>
                <w:lang w:val="en-US" w:eastAsia="zh-CN"/>
              </w:rPr>
              <w:t>1</w:t>
            </w:r>
            <w:r>
              <w:rPr>
                <w:rFonts w:hint="eastAsia" w:ascii="宋体" w:hAnsi="宋体" w:eastAsia="宋体" w:cs="宋体"/>
                <w:color w:val="auto"/>
                <w:kern w:val="2"/>
              </w:rPr>
              <w:t>分；</w:t>
            </w:r>
          </w:p>
          <w:p>
            <w:pPr>
              <w:pStyle w:val="55"/>
              <w:spacing w:beforeAutospacing="0" w:afterAutospacing="0" w:line="340" w:lineRule="exact"/>
              <w:rPr>
                <w:rFonts w:hint="eastAsia" w:cs="宋体"/>
                <w:color w:val="auto"/>
                <w:kern w:val="2"/>
              </w:rPr>
            </w:pPr>
            <w:r>
              <w:rPr>
                <w:rFonts w:hint="eastAsia" w:ascii="宋体" w:hAnsi="宋体" w:eastAsia="宋体" w:cs="宋体"/>
                <w:b/>
                <w:bCs/>
                <w:color w:val="auto"/>
                <w:kern w:val="2"/>
                <w:lang w:val="en-US" w:eastAsia="zh-CN"/>
              </w:rPr>
              <w:t>注：</w:t>
            </w:r>
            <w:r>
              <w:rPr>
                <w:rFonts w:hint="eastAsia" w:ascii="宋体" w:hAnsi="宋体" w:eastAsia="宋体" w:cs="宋体"/>
                <w:b/>
                <w:bCs/>
                <w:color w:val="auto"/>
                <w:kern w:val="2"/>
              </w:rPr>
              <w:t>供应商须提供证书</w:t>
            </w:r>
            <w:r>
              <w:rPr>
                <w:rFonts w:hint="eastAsia" w:ascii="宋体" w:hAnsi="宋体" w:eastAsia="宋体" w:cs="宋体"/>
                <w:b/>
                <w:bCs/>
                <w:color w:val="auto"/>
                <w:kern w:val="2"/>
                <w:lang w:val="en-US" w:eastAsia="zh-CN"/>
              </w:rPr>
              <w:t>复印件（或扫描件）</w:t>
            </w:r>
            <w:r>
              <w:rPr>
                <w:rFonts w:hint="eastAsia" w:ascii="宋体" w:hAnsi="宋体" w:eastAsia="宋体" w:cs="宋体"/>
                <w:b/>
                <w:bCs/>
                <w:color w:val="auto"/>
                <w:kern w:val="2"/>
              </w:rPr>
              <w:t>及全国认证认可信息公共服务平台网站截图</w:t>
            </w:r>
            <w:r>
              <w:rPr>
                <w:rFonts w:hint="eastAsia" w:ascii="宋体" w:hAnsi="宋体" w:eastAsia="宋体" w:cs="宋体"/>
                <w:b/>
                <w:bCs/>
                <w:color w:val="auto"/>
                <w:kern w:val="2"/>
                <w:lang w:eastAsia="zh-CN"/>
              </w:rPr>
              <w:t>（</w:t>
            </w:r>
            <w:r>
              <w:rPr>
                <w:rFonts w:hint="eastAsia" w:ascii="宋体" w:hAnsi="宋体" w:eastAsia="宋体" w:cs="宋体"/>
                <w:b/>
                <w:bCs/>
                <w:color w:val="auto"/>
                <w:kern w:val="2"/>
                <w:lang w:val="en-US" w:eastAsia="zh-CN"/>
              </w:rPr>
              <w:t>状态有效</w:t>
            </w:r>
            <w:r>
              <w:rPr>
                <w:rFonts w:hint="eastAsia" w:ascii="宋体" w:hAnsi="宋体" w:eastAsia="宋体" w:cs="宋体"/>
                <w:b/>
                <w:bCs/>
                <w:color w:val="auto"/>
                <w:kern w:val="2"/>
                <w:lang w:eastAsia="zh-CN"/>
              </w:rPr>
              <w:t>）</w:t>
            </w:r>
            <w:r>
              <w:rPr>
                <w:rFonts w:hint="eastAsia" w:ascii="宋体" w:hAnsi="宋体" w:eastAsia="宋体" w:cs="宋体"/>
                <w:b/>
                <w:bCs/>
                <w:color w:val="auto"/>
                <w:kern w:val="2"/>
              </w:rPr>
              <w:t>加盖公章</w:t>
            </w:r>
            <w:r>
              <w:rPr>
                <w:rFonts w:hint="eastAsia" w:ascii="宋体" w:hAnsi="宋体" w:eastAsia="宋体" w:cs="宋体"/>
                <w:b/>
                <w:bCs/>
                <w:color w:val="auto"/>
                <w:kern w:val="2"/>
                <w:lang w:eastAsia="zh-CN"/>
              </w:rPr>
              <w:t>，</w:t>
            </w:r>
            <w:r>
              <w:rPr>
                <w:rFonts w:hint="eastAsia" w:ascii="宋体" w:hAnsi="宋体" w:eastAsia="宋体" w:cs="宋体"/>
                <w:b/>
                <w:bCs/>
                <w:color w:val="auto"/>
                <w:kern w:val="2"/>
                <w:lang w:val="en-US" w:eastAsia="zh-CN"/>
              </w:rPr>
              <w:t>未提供齐全该证不得分</w:t>
            </w:r>
            <w:r>
              <w:rPr>
                <w:rFonts w:hint="eastAsia" w:ascii="宋体" w:hAnsi="宋体" w:eastAsia="宋体" w:cs="宋体"/>
                <w:b/>
                <w:bCs/>
                <w:color w:val="auto"/>
                <w:kern w:val="2"/>
                <w:lang w:eastAsia="zh-CN"/>
              </w:rPr>
              <w:t>。</w:t>
            </w:r>
          </w:p>
        </w:tc>
        <w:tc>
          <w:tcPr>
            <w:tcW w:w="1024" w:type="dxa"/>
            <w:tcBorders>
              <w:top w:val="single" w:color="000000" w:sz="6" w:space="0"/>
              <w:left w:val="single" w:color="000000" w:sz="6" w:space="0"/>
              <w:bottom w:val="single" w:color="auto" w:sz="4" w:space="0"/>
              <w:right w:val="double" w:color="000000" w:sz="6" w:space="0"/>
            </w:tcBorders>
            <w:noWrap w:val="0"/>
            <w:vAlign w:val="center"/>
          </w:tcPr>
          <w:p>
            <w:pPr>
              <w:jc w:val="center"/>
              <w:rPr>
                <w:rFonts w:ascii="宋体" w:hAnsi="宋体" w:cs="宋体"/>
                <w:bCs/>
                <w:sz w:val="24"/>
              </w:rPr>
            </w:pPr>
            <w:r>
              <w:rPr>
                <w:rFonts w:hint="eastAsia" w:ascii="宋体" w:hAnsi="宋体" w:cs="宋体"/>
                <w:bCs/>
                <w:sz w:val="24"/>
              </w:rPr>
              <w:t>0-</w:t>
            </w:r>
            <w:r>
              <w:rPr>
                <w:rFonts w:hint="eastAsia" w:ascii="宋体" w:hAnsi="宋体" w:cs="宋体"/>
                <w:bCs/>
                <w:sz w:val="24"/>
                <w:lang w:val="en-US" w:eastAsia="zh-CN"/>
              </w:rPr>
              <w:t>3</w:t>
            </w:r>
            <w:r>
              <w:rPr>
                <w:rFonts w:hint="eastAsia" w:ascii="宋体" w:hAnsi="宋体" w:cs="宋体"/>
                <w:bCs/>
                <w:sz w:val="24"/>
              </w:rPr>
              <w:t>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410" w:hRule="atLeast"/>
        </w:trPr>
        <w:tc>
          <w:tcPr>
            <w:tcW w:w="805" w:type="dxa"/>
            <w:tcBorders>
              <w:top w:val="single" w:color="000000" w:sz="6" w:space="0"/>
              <w:left w:val="double" w:color="000000" w:sz="6" w:space="0"/>
              <w:bottom w:val="single" w:color="000000" w:sz="6" w:space="0"/>
              <w:right w:val="single" w:color="000000" w:sz="6" w:space="0"/>
            </w:tcBorders>
            <w:noWrap w:val="0"/>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9</w:t>
            </w:r>
          </w:p>
        </w:tc>
        <w:tc>
          <w:tcPr>
            <w:tcW w:w="1620" w:type="dxa"/>
            <w:tcBorders>
              <w:top w:val="single" w:color="000000" w:sz="6" w:space="0"/>
              <w:left w:val="single" w:color="000000" w:sz="6" w:space="0"/>
              <w:bottom w:val="single" w:color="000000" w:sz="6" w:space="0"/>
              <w:right w:val="single" w:color="000000" w:sz="6" w:space="0"/>
            </w:tcBorders>
            <w:noWrap w:val="0"/>
            <w:vAlign w:val="center"/>
          </w:tcPr>
          <w:p>
            <w:pPr>
              <w:pStyle w:val="23"/>
              <w:spacing w:line="340" w:lineRule="exact"/>
              <w:ind w:firstLine="0" w:firstLineChars="0"/>
              <w:jc w:val="center"/>
              <w:rPr>
                <w:rFonts w:cs="宋体"/>
                <w:bCs/>
              </w:rPr>
            </w:pPr>
            <w:r>
              <w:rPr>
                <w:rFonts w:hint="eastAsia" w:cs="宋体"/>
                <w:bCs/>
              </w:rPr>
              <w:t>节能环保</w:t>
            </w:r>
          </w:p>
        </w:tc>
        <w:tc>
          <w:tcPr>
            <w:tcW w:w="5910" w:type="dxa"/>
            <w:tcBorders>
              <w:top w:val="single" w:color="000000" w:sz="6" w:space="0"/>
              <w:left w:val="single" w:color="000000" w:sz="6" w:space="0"/>
              <w:bottom w:val="single" w:color="000000" w:sz="6" w:space="0"/>
              <w:right w:val="single" w:color="000000" w:sz="6" w:space="0"/>
            </w:tcBorders>
            <w:noWrap w:val="0"/>
            <w:vAlign w:val="center"/>
          </w:tcPr>
          <w:p>
            <w:pPr>
              <w:pStyle w:val="55"/>
              <w:spacing w:beforeAutospacing="0" w:afterAutospacing="0" w:line="340" w:lineRule="exact"/>
              <w:rPr>
                <w:rFonts w:cs="宋体"/>
                <w:kern w:val="2"/>
              </w:rPr>
            </w:pPr>
            <w:r>
              <w:rPr>
                <w:rFonts w:hint="eastAsia" w:cs="宋体"/>
                <w:kern w:val="2"/>
              </w:rPr>
              <w:t>所投的产品纳入“中国政府采购网http://www.ccgp.gov.cn”中“节能、环保产品清单查询系统”内并提供查询截图或提供产品认证证书，得1分。</w:t>
            </w:r>
          </w:p>
        </w:tc>
        <w:tc>
          <w:tcPr>
            <w:tcW w:w="1024" w:type="dxa"/>
            <w:tcBorders>
              <w:top w:val="single" w:color="000000" w:sz="6" w:space="0"/>
              <w:left w:val="single" w:color="000000" w:sz="6" w:space="0"/>
              <w:bottom w:val="single" w:color="000000" w:sz="6" w:space="0"/>
              <w:right w:val="double" w:color="000000" w:sz="6" w:space="0"/>
            </w:tcBorders>
            <w:noWrap w:val="0"/>
            <w:vAlign w:val="center"/>
          </w:tcPr>
          <w:p>
            <w:pPr>
              <w:jc w:val="center"/>
              <w:rPr>
                <w:rFonts w:ascii="宋体" w:hAnsi="宋体" w:cs="宋体"/>
                <w:bCs/>
                <w:sz w:val="24"/>
              </w:rPr>
            </w:pPr>
            <w:r>
              <w:rPr>
                <w:rFonts w:hint="eastAsia" w:ascii="宋体" w:hAnsi="宋体" w:cs="宋体"/>
                <w:bCs/>
                <w:sz w:val="24"/>
              </w:rPr>
              <w:t>0-1分</w:t>
            </w:r>
          </w:p>
        </w:tc>
      </w:tr>
    </w:tbl>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pStyle w:val="6"/>
        <w:rPr>
          <w:rFonts w:hint="eastAsia" w:hAnsi="宋体" w:cs="宋体"/>
          <w:b/>
          <w:bCs/>
          <w:u w:val="single"/>
        </w:rPr>
      </w:pPr>
    </w:p>
    <w:p>
      <w:pPr>
        <w:spacing w:line="360" w:lineRule="auto"/>
        <w:jc w:val="center"/>
        <w:outlineLvl w:val="0"/>
        <w:rPr>
          <w:rFonts w:hint="eastAsia" w:ascii="宋体" w:hAnsi="宋体" w:cs="宋体"/>
          <w:b/>
          <w:sz w:val="36"/>
          <w:szCs w:val="36"/>
        </w:rPr>
      </w:pPr>
      <w:r>
        <w:rPr>
          <w:rFonts w:hint="eastAsia" w:ascii="宋体" w:hAnsi="宋体" w:cs="宋体"/>
          <w:b/>
          <w:sz w:val="36"/>
          <w:szCs w:val="36"/>
        </w:rPr>
        <w:t>第五部分 拟签订的合同文本</w:t>
      </w:r>
    </w:p>
    <w:bookmarkEnd w:id="22"/>
    <w:bookmarkEnd w:id="23"/>
    <w:bookmarkEnd w:id="24"/>
    <w:tbl>
      <w:tblPr>
        <w:tblStyle w:val="6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8280" w:type="dxa"/>
            <w:noWrap w:val="0"/>
            <w:vAlign w:val="top"/>
          </w:tcPr>
          <w:p>
            <w:pPr>
              <w:snapToGrid w:val="0"/>
              <w:spacing w:before="120" w:beforeLines="50" w:after="120" w:afterLines="50" w:line="400" w:lineRule="exact"/>
              <w:outlineLvl w:val="0"/>
              <w:rPr>
                <w:rFonts w:hint="eastAsia" w:ascii="宋体" w:hAnsi="宋体" w:cs="宋体"/>
                <w:bCs/>
                <w:snapToGrid w:val="0"/>
                <w:kern w:val="0"/>
                <w:sz w:val="24"/>
              </w:rPr>
            </w:pPr>
            <w:bookmarkStart w:id="25" w:name="_Toc86217003"/>
            <w:bookmarkStart w:id="26" w:name="第五部分"/>
            <w:r>
              <w:rPr>
                <w:rFonts w:hint="eastAsia" w:ascii="宋体" w:hAnsi="宋体" w:cs="宋体"/>
                <w:bCs/>
                <w:snapToGrid w:val="0"/>
                <w:kern w:val="0"/>
                <w:sz w:val="24"/>
              </w:rPr>
              <w:t>注释：本格式条款仅作为双方签订合同的参考，为阐明各方的权利和义务，经协商后可相应修改，但不得与采购文件、投标文件的实质性内容相背离。</w:t>
            </w:r>
          </w:p>
        </w:tc>
      </w:tr>
    </w:tbl>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项目名称：                                       项目编号：</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甲方：（买方）</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乙方：（卖方）</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 xml:space="preserve">   </w:t>
      </w:r>
      <w:r>
        <w:rPr>
          <w:rFonts w:hint="eastAsia" w:ascii="宋体" w:hAnsi="宋体" w:eastAsia="宋体" w:cs="宋体"/>
          <w:sz w:val="24"/>
          <w:szCs w:val="24"/>
        </w:rPr>
        <w:t>甲、乙双方根据</w:t>
      </w:r>
      <w:r>
        <w:rPr>
          <w:rFonts w:hint="eastAsia" w:ascii="宋体" w:hAnsi="宋体" w:eastAsia="宋体" w:cs="宋体"/>
          <w:sz w:val="24"/>
          <w:szCs w:val="24"/>
          <w:u w:val="single"/>
        </w:rPr>
        <w:t xml:space="preserve">                          关于              招标</w:t>
      </w:r>
      <w:r>
        <w:rPr>
          <w:rFonts w:hint="eastAsia" w:ascii="宋体" w:hAnsi="宋体" w:eastAsia="宋体" w:cs="宋体"/>
          <w:sz w:val="24"/>
          <w:szCs w:val="24"/>
        </w:rPr>
        <w:t>的结果，签署本合同。</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一、货物内容</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1. 货物名称：</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2. 型号规格：</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3. 技术参数：</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4. 数量（单位）：</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二、合同金额</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 xml:space="preserve"> 本合同金额为（大写）：人民币________________________元（￥_______________元）。</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三、技术资料</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1.乙方应按招标文件规定的时间向甲方提供使用货物的有关技术资料。</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2. 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pStyle w:val="31"/>
        <w:keepNext w:val="0"/>
        <w:keepLines w:val="0"/>
        <w:pageBreakBefore w:val="0"/>
        <w:kinsoku/>
        <w:wordWrap/>
        <w:overflowPunct/>
        <w:topLinePunct w:val="0"/>
        <w:bidi w:val="0"/>
        <w:adjustRightInd w:val="0"/>
        <w:snapToGrid w:val="0"/>
        <w:spacing w:before="120" w:after="120" w:line="380" w:lineRule="exact"/>
        <w:ind w:left="412" w:hanging="412" w:hangingChars="171"/>
        <w:rPr>
          <w:rFonts w:hint="eastAsia" w:ascii="宋体" w:hAnsi="宋体" w:eastAsia="宋体" w:cs="宋体"/>
          <w:b/>
          <w:sz w:val="24"/>
          <w:szCs w:val="24"/>
        </w:rPr>
      </w:pPr>
      <w:r>
        <w:rPr>
          <w:rFonts w:hint="eastAsia" w:ascii="宋体" w:hAnsi="宋体" w:eastAsia="宋体" w:cs="宋体"/>
          <w:b/>
          <w:sz w:val="24"/>
          <w:szCs w:val="24"/>
        </w:rPr>
        <w:t>四、知识产权</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Cs/>
          <w:sz w:val="24"/>
          <w:szCs w:val="24"/>
        </w:rPr>
      </w:pPr>
      <w:r>
        <w:rPr>
          <w:rFonts w:hint="eastAsia" w:ascii="宋体" w:hAnsi="宋体" w:eastAsia="宋体" w:cs="宋体"/>
          <w:sz w:val="24"/>
          <w:szCs w:val="24"/>
        </w:rPr>
        <w:t>乙方应保证所提供的货物或其任何一部分均不会侵犯任何第三方的知识产权</w:t>
      </w:r>
      <w:r>
        <w:rPr>
          <w:rFonts w:hint="eastAsia" w:ascii="宋体" w:hAnsi="宋体" w:eastAsia="宋体" w:cs="宋体"/>
          <w:bCs/>
          <w:sz w:val="24"/>
          <w:szCs w:val="24"/>
        </w:rPr>
        <w:t>。</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u w:val="single"/>
        </w:rPr>
      </w:pPr>
      <w:r>
        <w:rPr>
          <w:rFonts w:hint="eastAsia" w:ascii="宋体" w:hAnsi="宋体" w:eastAsia="宋体" w:cs="宋体"/>
          <w:b/>
          <w:sz w:val="24"/>
          <w:szCs w:val="24"/>
        </w:rPr>
        <w:t>五、产权担保</w:t>
      </w:r>
    </w:p>
    <w:p>
      <w:pPr>
        <w:pStyle w:val="31"/>
        <w:keepNext w:val="0"/>
        <w:keepLines w:val="0"/>
        <w:pageBreakBefore w:val="0"/>
        <w:kinsoku/>
        <w:wordWrap/>
        <w:overflowPunct/>
        <w:topLinePunct w:val="0"/>
        <w:bidi w:val="0"/>
        <w:adjustRightInd w:val="0"/>
        <w:snapToGrid w:val="0"/>
        <w:spacing w:before="120" w:after="120" w:line="380" w:lineRule="exact"/>
        <w:ind w:left="408" w:hanging="408" w:hangingChars="170"/>
        <w:rPr>
          <w:rFonts w:hint="eastAsia" w:ascii="宋体" w:hAnsi="宋体" w:eastAsia="宋体" w:cs="宋体"/>
          <w:sz w:val="24"/>
          <w:szCs w:val="24"/>
          <w:u w:val="single"/>
        </w:rPr>
      </w:pPr>
      <w:r>
        <w:rPr>
          <w:rFonts w:hint="eastAsia" w:ascii="宋体" w:hAnsi="宋体" w:eastAsia="宋体" w:cs="宋体"/>
          <w:sz w:val="24"/>
          <w:szCs w:val="24"/>
        </w:rPr>
        <w:t>乙方保证所交付的货物的所有权完全属于乙方且无任何抵押、查封等产权瑕疵。</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0"/>
        <w:rPr>
          <w:rFonts w:hint="eastAsia" w:ascii="宋体" w:hAnsi="宋体" w:eastAsia="宋体" w:cs="宋体"/>
          <w:b/>
          <w:sz w:val="24"/>
          <w:szCs w:val="24"/>
        </w:rPr>
      </w:pPr>
      <w:r>
        <w:rPr>
          <w:rFonts w:hint="eastAsia" w:ascii="宋体" w:hAnsi="宋体" w:eastAsia="宋体" w:cs="宋体"/>
          <w:b/>
          <w:sz w:val="24"/>
          <w:szCs w:val="24"/>
        </w:rPr>
        <w:t>六、履约保证金</w:t>
      </w:r>
    </w:p>
    <w:p>
      <w:pPr>
        <w:pStyle w:val="31"/>
        <w:keepNext w:val="0"/>
        <w:keepLines w:val="0"/>
        <w:pageBreakBefore w:val="0"/>
        <w:kinsoku/>
        <w:wordWrap/>
        <w:overflowPunct/>
        <w:topLinePunct w:val="0"/>
        <w:bidi w:val="0"/>
        <w:adjustRightInd w:val="0"/>
        <w:snapToGrid w:val="0"/>
        <w:spacing w:before="120" w:after="120" w:line="380" w:lineRule="exact"/>
        <w:ind w:left="408" w:hanging="408" w:hangingChars="170"/>
        <w:rPr>
          <w:rFonts w:hint="eastAsia" w:ascii="宋体" w:hAnsi="宋体" w:eastAsia="宋体" w:cs="宋体"/>
          <w:sz w:val="24"/>
          <w:szCs w:val="24"/>
        </w:rPr>
      </w:pPr>
      <w:r>
        <w:rPr>
          <w:rFonts w:hint="eastAsia" w:ascii="宋体" w:hAnsi="宋体" w:eastAsia="宋体" w:cs="宋体"/>
          <w:sz w:val="24"/>
          <w:szCs w:val="24"/>
        </w:rPr>
        <w:t>乙方交纳合同总价的</w:t>
      </w:r>
      <w:r>
        <w:rPr>
          <w:rFonts w:hint="eastAsia" w:ascii="宋体" w:hAnsi="宋体" w:eastAsia="宋体" w:cs="宋体"/>
          <w:sz w:val="24"/>
          <w:szCs w:val="24"/>
          <w:u w:val="single"/>
        </w:rPr>
        <w:t xml:space="preserve">    </w:t>
      </w:r>
      <w:r>
        <w:rPr>
          <w:rFonts w:hint="eastAsia" w:ascii="宋体" w:hAnsi="宋体" w:eastAsia="宋体" w:cs="宋体"/>
          <w:sz w:val="24"/>
          <w:szCs w:val="24"/>
        </w:rPr>
        <w:t>%作为本合同的履约保证金。</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0"/>
        <w:rPr>
          <w:rFonts w:hint="eastAsia" w:ascii="宋体" w:hAnsi="宋体" w:eastAsia="宋体" w:cs="宋体"/>
          <w:b/>
          <w:sz w:val="24"/>
          <w:szCs w:val="24"/>
        </w:rPr>
      </w:pPr>
      <w:r>
        <w:rPr>
          <w:rFonts w:hint="eastAsia" w:ascii="宋体" w:hAnsi="宋体" w:eastAsia="宋体" w:cs="宋体"/>
          <w:b/>
          <w:sz w:val="24"/>
          <w:szCs w:val="24"/>
        </w:rPr>
        <w:t>七、转包或分包</w:t>
      </w:r>
    </w:p>
    <w:p>
      <w:pPr>
        <w:keepNext w:val="0"/>
        <w:keepLines w:val="0"/>
        <w:pageBreakBefore w:val="0"/>
        <w:kinsoku/>
        <w:wordWrap/>
        <w:overflowPunct/>
        <w:topLinePunct w:val="0"/>
        <w:bidi w:val="0"/>
        <w:adjustRightInd w:val="0"/>
        <w:snapToGrid w:val="0"/>
        <w:spacing w:before="120" w:beforeLines="50" w:after="120" w:afterLines="50" w:line="380" w:lineRule="exact"/>
        <w:rPr>
          <w:rFonts w:hint="eastAsia" w:ascii="宋体" w:hAnsi="宋体" w:eastAsia="宋体" w:cs="宋体"/>
          <w:sz w:val="24"/>
          <w:szCs w:val="24"/>
        </w:rPr>
      </w:pPr>
      <w:r>
        <w:rPr>
          <w:rFonts w:hint="eastAsia" w:ascii="宋体" w:hAnsi="宋体" w:eastAsia="宋体" w:cs="宋体"/>
          <w:sz w:val="24"/>
          <w:szCs w:val="24"/>
        </w:rPr>
        <w:t>1.本合同范围的货物，应由乙方直接供应，不得转让他人供应；</w:t>
      </w:r>
    </w:p>
    <w:p>
      <w:pPr>
        <w:keepNext w:val="0"/>
        <w:keepLines w:val="0"/>
        <w:pageBreakBefore w:val="0"/>
        <w:kinsoku/>
        <w:wordWrap/>
        <w:overflowPunct/>
        <w:topLinePunct w:val="0"/>
        <w:bidi w:val="0"/>
        <w:adjustRightInd w:val="0"/>
        <w:snapToGrid w:val="0"/>
        <w:spacing w:before="120" w:beforeLines="50" w:after="120" w:afterLines="50" w:line="380" w:lineRule="exact"/>
        <w:rPr>
          <w:rFonts w:hint="eastAsia" w:ascii="宋体" w:hAnsi="宋体" w:eastAsia="宋体" w:cs="宋体"/>
          <w:sz w:val="24"/>
          <w:szCs w:val="24"/>
        </w:rPr>
      </w:pPr>
      <w:r>
        <w:rPr>
          <w:rFonts w:hint="eastAsia" w:ascii="宋体" w:hAnsi="宋体" w:eastAsia="宋体" w:cs="宋体"/>
          <w:sz w:val="24"/>
          <w:szCs w:val="24"/>
        </w:rPr>
        <w:t>2.除非得到甲方的书面同意，乙方不得将本合同范围的货物全部或部分分包给他人供应；</w:t>
      </w:r>
    </w:p>
    <w:p>
      <w:pPr>
        <w:keepNext w:val="0"/>
        <w:keepLines w:val="0"/>
        <w:pageBreakBefore w:val="0"/>
        <w:kinsoku/>
        <w:wordWrap/>
        <w:overflowPunct/>
        <w:topLinePunct w:val="0"/>
        <w:bidi w:val="0"/>
        <w:adjustRightInd w:val="0"/>
        <w:snapToGrid w:val="0"/>
        <w:spacing w:before="120" w:beforeLines="50" w:after="120" w:afterLines="50" w:line="380" w:lineRule="exact"/>
        <w:rPr>
          <w:rFonts w:hint="eastAsia" w:ascii="宋体" w:hAnsi="宋体" w:eastAsia="宋体" w:cs="宋体"/>
          <w:sz w:val="24"/>
          <w:szCs w:val="24"/>
        </w:rPr>
      </w:pPr>
      <w:r>
        <w:rPr>
          <w:rFonts w:hint="eastAsia" w:ascii="宋体" w:hAnsi="宋体" w:eastAsia="宋体" w:cs="宋体"/>
          <w:sz w:val="24"/>
          <w:szCs w:val="24"/>
        </w:rPr>
        <w:t>3.如有转让和未经甲方同意的分包行为，甲方有权解除合同，没收履约保证金并追究乙方的违约责任。</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b/>
          <w:sz w:val="24"/>
          <w:szCs w:val="24"/>
        </w:rPr>
        <w:t>八、质保期</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1. 质保期：</w:t>
      </w:r>
      <w:r>
        <w:rPr>
          <w:rFonts w:hint="eastAsia" w:ascii="宋体" w:hAnsi="宋体" w:eastAsia="宋体" w:cs="宋体"/>
          <w:sz w:val="24"/>
          <w:szCs w:val="24"/>
          <w:u w:val="single"/>
        </w:rPr>
        <w:t xml:space="preserve">            </w:t>
      </w:r>
      <w:r>
        <w:rPr>
          <w:rFonts w:hint="eastAsia" w:ascii="宋体" w:hAnsi="宋体" w:eastAsia="宋体" w:cs="宋体"/>
          <w:sz w:val="24"/>
          <w:szCs w:val="24"/>
        </w:rPr>
        <w:t>。（自交货验收合格之日起计）</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九、交货期、交货方式及交货地点</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Cs/>
          <w:sz w:val="24"/>
          <w:szCs w:val="24"/>
        </w:rPr>
      </w:pPr>
      <w:r>
        <w:rPr>
          <w:rFonts w:hint="eastAsia" w:ascii="宋体" w:hAnsi="宋体" w:eastAsia="宋体" w:cs="宋体"/>
          <w:bCs/>
          <w:sz w:val="24"/>
          <w:szCs w:val="24"/>
        </w:rPr>
        <w:t>1. 交货期：</w:t>
      </w:r>
      <w:r>
        <w:rPr>
          <w:rFonts w:hint="eastAsia" w:ascii="宋体" w:hAnsi="宋体" w:eastAsia="宋体" w:cs="宋体"/>
          <w:sz w:val="24"/>
          <w:szCs w:val="24"/>
        </w:rPr>
        <w:t xml:space="preserve"> </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Cs/>
          <w:sz w:val="24"/>
          <w:szCs w:val="24"/>
        </w:rPr>
      </w:pPr>
      <w:r>
        <w:rPr>
          <w:rFonts w:hint="eastAsia" w:ascii="宋体" w:hAnsi="宋体" w:eastAsia="宋体" w:cs="宋体"/>
          <w:bCs/>
          <w:sz w:val="24"/>
          <w:szCs w:val="24"/>
        </w:rPr>
        <w:t>2. 交货方式：</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Cs/>
          <w:sz w:val="24"/>
          <w:szCs w:val="24"/>
        </w:rPr>
        <w:t>3. 交货地点：采购人指定地点</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十、货款支付</w:t>
      </w:r>
    </w:p>
    <w:p>
      <w:pPr>
        <w:keepNext w:val="0"/>
        <w:keepLines w:val="0"/>
        <w:pageBreakBefore w:val="0"/>
        <w:widowControl/>
        <w:kinsoku/>
        <w:wordWrap/>
        <w:overflowPunct/>
        <w:topLinePunct w:val="0"/>
        <w:autoSpaceDE w:val="0"/>
        <w:autoSpaceDN w:val="0"/>
        <w:bidi w:val="0"/>
        <w:adjustRightInd w:val="0"/>
        <w:spacing w:line="380" w:lineRule="exact"/>
        <w:ind w:firstLine="410" w:firstLineChars="171"/>
        <w:jc w:val="left"/>
        <w:textAlignment w:val="bottom"/>
        <w:rPr>
          <w:rFonts w:hint="eastAsia" w:ascii="宋体" w:hAnsi="宋体" w:eastAsia="宋体" w:cs="宋体"/>
          <w:bCs/>
          <w:sz w:val="24"/>
          <w:szCs w:val="24"/>
          <w:u w:val="single"/>
        </w:rPr>
      </w:pPr>
      <w:r>
        <w:rPr>
          <w:rFonts w:hint="eastAsia" w:ascii="宋体" w:hAnsi="宋体" w:eastAsia="宋体" w:cs="宋体"/>
          <w:bCs/>
          <w:sz w:val="24"/>
          <w:szCs w:val="24"/>
        </w:rPr>
        <w:t>1.付款方式：</w:t>
      </w:r>
      <w:r>
        <w:rPr>
          <w:rFonts w:hint="eastAsia" w:ascii="宋体" w:hAnsi="宋体" w:eastAsia="宋体" w:cs="宋体"/>
          <w:sz w:val="24"/>
          <w:szCs w:val="24"/>
          <w:u w:val="single"/>
        </w:rPr>
        <w:t xml:space="preserve">                                                      </w:t>
      </w:r>
    </w:p>
    <w:p>
      <w:pPr>
        <w:pStyle w:val="31"/>
        <w:keepNext w:val="0"/>
        <w:keepLines w:val="0"/>
        <w:pageBreakBefore w:val="0"/>
        <w:kinsoku/>
        <w:wordWrap/>
        <w:overflowPunct/>
        <w:topLinePunct w:val="0"/>
        <w:bidi w:val="0"/>
        <w:adjustRightInd w:val="0"/>
        <w:snapToGrid w:val="0"/>
        <w:spacing w:before="120" w:after="120" w:line="380" w:lineRule="exact"/>
        <w:ind w:left="479" w:leftChars="171" w:hanging="120" w:hangingChars="50"/>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sz w:val="24"/>
          <w:szCs w:val="24"/>
        </w:rPr>
        <w:t>当采购数量与实际使用数量不一致时，乙方应根据实际使用量供货，合同的最终结算金额按实际使用量乘以成交单价进行计算。</w:t>
      </w:r>
    </w:p>
    <w:p>
      <w:pPr>
        <w:keepNext w:val="0"/>
        <w:keepLines w:val="0"/>
        <w:pageBreakBefore w:val="0"/>
        <w:kinsoku/>
        <w:wordWrap/>
        <w:overflowPunct/>
        <w:topLinePunct w:val="0"/>
        <w:bidi w:val="0"/>
        <w:adjustRightInd w:val="0"/>
        <w:snapToGrid w:val="0"/>
        <w:spacing w:before="120" w:beforeLines="50" w:after="120" w:afterLines="50" w:line="380" w:lineRule="exact"/>
        <w:rPr>
          <w:rFonts w:hint="eastAsia" w:ascii="宋体" w:hAnsi="宋体" w:eastAsia="宋体" w:cs="宋体"/>
          <w:b/>
          <w:sz w:val="24"/>
          <w:szCs w:val="24"/>
        </w:rPr>
      </w:pPr>
      <w:r>
        <w:rPr>
          <w:rFonts w:hint="eastAsia" w:ascii="宋体" w:hAnsi="宋体" w:eastAsia="宋体" w:cs="宋体"/>
          <w:b/>
          <w:sz w:val="24"/>
          <w:szCs w:val="24"/>
        </w:rPr>
        <w:t>十一、税费</w:t>
      </w:r>
    </w:p>
    <w:p>
      <w:pPr>
        <w:keepNext w:val="0"/>
        <w:keepLines w:val="0"/>
        <w:pageBreakBefore w:val="0"/>
        <w:kinsoku/>
        <w:wordWrap/>
        <w:overflowPunct/>
        <w:topLinePunct w:val="0"/>
        <w:bidi w:val="0"/>
        <w:adjustRightInd w:val="0"/>
        <w:snapToGrid w:val="0"/>
        <w:spacing w:before="120" w:beforeLines="50" w:after="120" w:afterLines="50" w:line="380" w:lineRule="exact"/>
        <w:rPr>
          <w:rFonts w:hint="eastAsia" w:ascii="宋体" w:hAnsi="宋体" w:eastAsia="宋体" w:cs="宋体"/>
          <w:sz w:val="24"/>
          <w:szCs w:val="24"/>
        </w:rPr>
      </w:pPr>
      <w:r>
        <w:rPr>
          <w:rFonts w:hint="eastAsia" w:ascii="宋体" w:hAnsi="宋体" w:eastAsia="宋体" w:cs="宋体"/>
          <w:sz w:val="24"/>
          <w:szCs w:val="24"/>
        </w:rPr>
        <w:t>本合同执行中相关的一切税费均由乙方负担。</w:t>
      </w:r>
    </w:p>
    <w:p>
      <w:pPr>
        <w:pStyle w:val="31"/>
        <w:keepNext w:val="0"/>
        <w:keepLines w:val="0"/>
        <w:pageBreakBefore w:val="0"/>
        <w:kinsoku/>
        <w:wordWrap/>
        <w:overflowPunct/>
        <w:topLinePunct w:val="0"/>
        <w:bidi w:val="0"/>
        <w:adjustRightInd w:val="0"/>
        <w:snapToGrid w:val="0"/>
        <w:spacing w:before="120" w:after="120" w:line="380" w:lineRule="exact"/>
        <w:ind w:left="412" w:hanging="412" w:hangingChars="171"/>
        <w:rPr>
          <w:rFonts w:hint="eastAsia" w:ascii="宋体" w:hAnsi="宋体" w:eastAsia="宋体" w:cs="宋体"/>
          <w:sz w:val="24"/>
          <w:szCs w:val="24"/>
        </w:rPr>
      </w:pPr>
      <w:r>
        <w:rPr>
          <w:rFonts w:hint="eastAsia" w:ascii="宋体" w:hAnsi="宋体" w:eastAsia="宋体" w:cs="宋体"/>
          <w:b/>
          <w:sz w:val="24"/>
          <w:szCs w:val="24"/>
        </w:rPr>
        <w:t>十二、质量保证及售后服务</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1. 乙方应按招标文件规定的货物性能、技术要求、质量标准向甲方提供未经使用的全新产品。</w:t>
      </w:r>
    </w:p>
    <w:p>
      <w:pPr>
        <w:pStyle w:val="31"/>
        <w:keepNext w:val="0"/>
        <w:keepLines w:val="0"/>
        <w:pageBreakBefore w:val="0"/>
        <w:kinsoku/>
        <w:wordWrap/>
        <w:overflowPunct/>
        <w:topLinePunct w:val="0"/>
        <w:bidi w:val="0"/>
        <w:adjustRightInd w:val="0"/>
        <w:snapToGrid w:val="0"/>
        <w:spacing w:before="120" w:after="120" w:line="38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2. 乙方提供的货物在质保期内因货物本身的质量问题发生故障，乙方应负责免费更换。对达不到技术要求者，根据实际情况，经双方协商，可按以下办法处理：</w:t>
      </w:r>
    </w:p>
    <w:p>
      <w:pPr>
        <w:pStyle w:val="31"/>
        <w:keepNext w:val="0"/>
        <w:keepLines w:val="0"/>
        <w:pageBreakBefore w:val="0"/>
        <w:kinsoku/>
        <w:wordWrap/>
        <w:overflowPunct/>
        <w:topLinePunct w:val="0"/>
        <w:bidi w:val="0"/>
        <w:adjustRightInd w:val="0"/>
        <w:snapToGrid w:val="0"/>
        <w:spacing w:before="120" w:after="120" w:line="380" w:lineRule="exact"/>
        <w:ind w:firstLine="420"/>
        <w:rPr>
          <w:rFonts w:hint="eastAsia" w:ascii="宋体" w:hAnsi="宋体" w:eastAsia="宋体" w:cs="宋体"/>
          <w:sz w:val="24"/>
          <w:szCs w:val="24"/>
        </w:rPr>
      </w:pPr>
      <w:r>
        <w:rPr>
          <w:rFonts w:hint="eastAsia" w:ascii="宋体" w:hAnsi="宋体" w:eastAsia="宋体" w:cs="宋体"/>
          <w:sz w:val="24"/>
          <w:szCs w:val="24"/>
        </w:rPr>
        <w:t>⑴更换：由乙方承担所发生的全部费用。</w:t>
      </w:r>
    </w:p>
    <w:p>
      <w:pPr>
        <w:pStyle w:val="31"/>
        <w:keepNext w:val="0"/>
        <w:keepLines w:val="0"/>
        <w:pageBreakBefore w:val="0"/>
        <w:kinsoku/>
        <w:wordWrap/>
        <w:overflowPunct/>
        <w:topLinePunct w:val="0"/>
        <w:bidi w:val="0"/>
        <w:adjustRightInd w:val="0"/>
        <w:snapToGrid w:val="0"/>
        <w:spacing w:before="120" w:after="120" w:line="380" w:lineRule="exact"/>
        <w:ind w:firstLine="420"/>
        <w:rPr>
          <w:rFonts w:hint="eastAsia" w:ascii="宋体" w:hAnsi="宋体" w:eastAsia="宋体" w:cs="宋体"/>
          <w:sz w:val="24"/>
          <w:szCs w:val="24"/>
        </w:rPr>
      </w:pPr>
      <w:r>
        <w:rPr>
          <w:rFonts w:hint="eastAsia" w:ascii="宋体" w:hAnsi="宋体" w:eastAsia="宋体" w:cs="宋体"/>
          <w:sz w:val="24"/>
          <w:szCs w:val="24"/>
        </w:rPr>
        <w:t>⑵贬值处理：由甲乙双方合议定价。</w:t>
      </w:r>
    </w:p>
    <w:p>
      <w:pPr>
        <w:pStyle w:val="31"/>
        <w:keepNext w:val="0"/>
        <w:keepLines w:val="0"/>
        <w:pageBreakBefore w:val="0"/>
        <w:kinsoku/>
        <w:wordWrap/>
        <w:overflowPunct/>
        <w:topLinePunct w:val="0"/>
        <w:bidi w:val="0"/>
        <w:adjustRightInd w:val="0"/>
        <w:snapToGrid w:val="0"/>
        <w:spacing w:before="120" w:after="120" w:line="380" w:lineRule="exact"/>
        <w:ind w:left="420" w:leftChars="200"/>
        <w:rPr>
          <w:rFonts w:hint="eastAsia" w:ascii="宋体" w:hAnsi="宋体" w:eastAsia="宋体" w:cs="宋体"/>
          <w:sz w:val="24"/>
          <w:szCs w:val="24"/>
        </w:rPr>
      </w:pPr>
      <w:r>
        <w:rPr>
          <w:rFonts w:hint="eastAsia" w:ascii="宋体" w:hAnsi="宋体" w:eastAsia="宋体" w:cs="宋体"/>
          <w:sz w:val="24"/>
          <w:szCs w:val="24"/>
        </w:rPr>
        <w:t>⑶退货处理：乙方应退还甲方支付的合同款，同时应承担该货物的直接费用（运输、保险、检验、货款利息及银行手续费等）。</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3. 如在使用过程中发生质量问题，乙方在接到甲方通知后在△小时内到达甲方现场。</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4. 在质保期内，乙方应对货物出现的质量及安全问题负责处理解决并承担一切费用。</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5.上述的货物免费保修期</w:t>
      </w:r>
      <w:r>
        <w:rPr>
          <w:rFonts w:hint="eastAsia" w:ascii="宋体" w:hAnsi="宋体" w:eastAsia="宋体" w:cs="宋体"/>
          <w:sz w:val="24"/>
          <w:szCs w:val="24"/>
          <w:u w:val="single"/>
        </w:rPr>
        <w:t xml:space="preserve">        </w:t>
      </w:r>
      <w:r>
        <w:rPr>
          <w:rFonts w:hint="eastAsia" w:ascii="宋体" w:hAnsi="宋体" w:eastAsia="宋体" w:cs="宋体"/>
          <w:sz w:val="24"/>
          <w:szCs w:val="24"/>
        </w:rPr>
        <w:t>年，因人为因素出现的故障不在免费保修范围内。超过保修期的机器设备，终生维修，维修时只收部件成本费。</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十三、调试和验收</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1. 甲方对乙方提交的货物依据招标文件上的技术规格要求和国家有关质量标准进行现场初步验收，外观、说明书符合招标文件技术要求的，给予签收，初步验收不合格的不予签收。货到后，甲方需在五个工作日内验收。</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2. 乙方交货前应对产品作出全面检查和对验收文件进行整理，并列出清单，作为甲方收货验收和使用的技术条件依据，检验的结果应随货物交甲方。</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3. 甲方对乙方提供的货物在使用前进行调试时，乙方需负责安装并培训甲方的使用操作人员，并协助甲方一起调试，直到符合技术要求，甲方才做最终验收。</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4. 对技术复杂的货物，甲方应请国家认可的专业检测机构参与初步验收及最终验收，并由其出具质量检测报告。</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5. 验收时乙方必须在现场，验收完毕后作出验收结果报告；验收费用由乙方负责。</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十四、货物包装、发运及运输</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1. 乙方应在货物发运前对其进行满足运输距离、防潮、防震、防锈和防破损装卸等要求包装，以保证货物安全运达甲方指定地点。</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2. 使用说明书、质量检验证明书、随配附件和工具以及清单一并附于货物内。</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3. 乙方在货物发运手续办理完毕后24小时内或货到甲方48小时前通知甲方，以准备接货。</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4. 货物在交付甲方前发生的风险均由乙方负责。</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5. 货物在规定的交付期限内由乙方送达甲方指定的地点视为交付，乙方同时需</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通知甲方货物已送达。</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十五、违约责任</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1. 甲方无正当理由拒收货物的，甲方向乙方偿付拒收货款总值的百分之五违约金。</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2. 甲方无故逾期验收和办理货款支付手续的,甲方应按逾期付款总额每日万分之五向乙方支付违约金。</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 xml:space="preserve">3. 乙方逾期交付货物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 </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4. 乙方所交的货物品种、型号、规格、技术参数、质量不符合合同规定及招标文件规定标准的，甲方有权拒收该货物，乙方愿意更换货物但逾期交货的，按乙方逾期交货处理。乙方拒绝更换货物的，甲方可单方面解除合同。</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十六、不可抗力事件处理</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1. 在合同有效期内，任何一方因不可抗力事件导致不能履行合同，则合同履行期可延长，其延长期与不可抗力影响期相同。</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2. 不可抗力事件发生后，应立即通知对方，并寄送有关权威机构出具的证明。</w:t>
      </w:r>
    </w:p>
    <w:p>
      <w:pPr>
        <w:pStyle w:val="31"/>
        <w:keepNext w:val="0"/>
        <w:keepLines w:val="0"/>
        <w:pageBreakBefore w:val="0"/>
        <w:kinsoku/>
        <w:wordWrap/>
        <w:overflowPunct/>
        <w:topLinePunct w:val="0"/>
        <w:bidi w:val="0"/>
        <w:adjustRightInd w:val="0"/>
        <w:snapToGrid w:val="0"/>
        <w:spacing w:before="120" w:after="120" w:line="380" w:lineRule="exact"/>
        <w:ind w:left="410" w:hanging="410" w:hangingChars="171"/>
        <w:rPr>
          <w:rFonts w:hint="eastAsia" w:ascii="宋体" w:hAnsi="宋体" w:eastAsia="宋体" w:cs="宋体"/>
          <w:sz w:val="24"/>
          <w:szCs w:val="24"/>
        </w:rPr>
      </w:pPr>
      <w:r>
        <w:rPr>
          <w:rFonts w:hint="eastAsia" w:ascii="宋体" w:hAnsi="宋体" w:eastAsia="宋体" w:cs="宋体"/>
          <w:sz w:val="24"/>
          <w:szCs w:val="24"/>
        </w:rPr>
        <w:t>3. 不可抗力事件延续120天以上，双方应通过友好协商，确定是否继续履行合同。</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十七、诉讼</w:t>
      </w:r>
    </w:p>
    <w:p>
      <w:pPr>
        <w:pStyle w:val="31"/>
        <w:keepNext w:val="0"/>
        <w:keepLines w:val="0"/>
        <w:pageBreakBefore w:val="0"/>
        <w:kinsoku/>
        <w:wordWrap/>
        <w:overflowPunct/>
        <w:topLinePunct w:val="0"/>
        <w:bidi w:val="0"/>
        <w:adjustRightInd w:val="0"/>
        <w:snapToGrid w:val="0"/>
        <w:spacing w:before="120" w:after="120" w:line="38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双方在执行合同中所发生的一切争议，应通过协商解决。如协商不成，可向甲方所在地法院起诉。</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b/>
          <w:sz w:val="24"/>
          <w:szCs w:val="24"/>
        </w:rPr>
      </w:pPr>
      <w:r>
        <w:rPr>
          <w:rFonts w:hint="eastAsia" w:ascii="宋体" w:hAnsi="宋体" w:eastAsia="宋体" w:cs="宋体"/>
          <w:b/>
          <w:sz w:val="24"/>
          <w:szCs w:val="24"/>
        </w:rPr>
        <w:t>十八、合同生效及其它</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1. 合同经双方法定代表人或授权代表签字并加盖单位公章后生效。</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2.合同执行中涉及采购资金和采购内容修改或补充的，须经财政部门审批，方可作为主合同不可分割的一部分。</w:t>
      </w:r>
    </w:p>
    <w:p>
      <w:pPr>
        <w:pStyle w:val="31"/>
        <w:keepNext w:val="0"/>
        <w:keepLines w:val="0"/>
        <w:pageBreakBefore w:val="0"/>
        <w:kinsoku/>
        <w:wordWrap/>
        <w:overflowPunct/>
        <w:topLinePunct w:val="0"/>
        <w:bidi w:val="0"/>
        <w:adjustRightInd w:val="0"/>
        <w:snapToGrid w:val="0"/>
        <w:spacing w:before="120" w:after="120" w:line="38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3.本合同未尽事宜，遵照《</w:t>
      </w:r>
      <w:r>
        <w:rPr>
          <w:rFonts w:hint="eastAsia" w:hAnsi="宋体" w:eastAsia="宋体" w:cs="宋体"/>
          <w:sz w:val="24"/>
          <w:szCs w:val="24"/>
          <w:lang w:val="en-US" w:eastAsia="zh-CN"/>
        </w:rPr>
        <w:t>中华人民共和国民法典</w:t>
      </w:r>
      <w:r>
        <w:rPr>
          <w:rFonts w:hint="eastAsia" w:ascii="宋体" w:hAnsi="宋体" w:eastAsia="宋体" w:cs="宋体"/>
          <w:sz w:val="24"/>
          <w:szCs w:val="24"/>
        </w:rPr>
        <w:t>》有关条文执行。</w:t>
      </w:r>
    </w:p>
    <w:p>
      <w:pPr>
        <w:pStyle w:val="31"/>
        <w:keepNext w:val="0"/>
        <w:keepLines w:val="0"/>
        <w:pageBreakBefore w:val="0"/>
        <w:kinsoku/>
        <w:wordWrap/>
        <w:overflowPunct/>
        <w:topLinePunct w:val="0"/>
        <w:bidi w:val="0"/>
        <w:adjustRightInd w:val="0"/>
        <w:snapToGrid w:val="0"/>
        <w:spacing w:before="120" w:after="120" w:line="38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4.本合同正本一式六份，具有同等法律效力，甲乙双方各执两份；采购代理机构二份。</w:t>
      </w:r>
    </w:p>
    <w:p>
      <w:pPr>
        <w:pStyle w:val="31"/>
        <w:keepNext w:val="0"/>
        <w:keepLines w:val="0"/>
        <w:pageBreakBefore w:val="0"/>
        <w:kinsoku/>
        <w:wordWrap/>
        <w:overflowPunct/>
        <w:topLinePunct w:val="0"/>
        <w:bidi w:val="0"/>
        <w:adjustRightInd w:val="0"/>
        <w:snapToGrid w:val="0"/>
        <w:spacing w:before="120" w:after="120" w:line="380" w:lineRule="exact"/>
        <w:ind w:left="480" w:hanging="480" w:hangingChars="200"/>
        <w:rPr>
          <w:rFonts w:hint="eastAsia" w:ascii="宋体" w:hAnsi="宋体" w:eastAsia="宋体" w:cs="宋体"/>
          <w:sz w:val="24"/>
          <w:szCs w:val="24"/>
        </w:rPr>
      </w:pPr>
    </w:p>
    <w:p>
      <w:pPr>
        <w:pStyle w:val="31"/>
        <w:keepNext w:val="0"/>
        <w:keepLines w:val="0"/>
        <w:pageBreakBefore w:val="0"/>
        <w:kinsoku/>
        <w:wordWrap/>
        <w:overflowPunct/>
        <w:topLinePunct w:val="0"/>
        <w:bidi w:val="0"/>
        <w:adjustRightInd w:val="0"/>
        <w:snapToGrid w:val="0"/>
        <w:spacing w:before="120" w:after="120" w:line="380" w:lineRule="exact"/>
        <w:ind w:left="480" w:hanging="480" w:hangingChars="200"/>
        <w:rPr>
          <w:rFonts w:hint="eastAsia" w:ascii="宋体" w:hAnsi="宋体" w:eastAsia="宋体" w:cs="宋体"/>
          <w:sz w:val="24"/>
          <w:szCs w:val="24"/>
        </w:rPr>
      </w:pPr>
      <w:r>
        <w:rPr>
          <w:rFonts w:hint="eastAsia" w:ascii="宋体" w:hAnsi="宋体" w:eastAsia="宋体" w:cs="宋体"/>
          <w:sz w:val="24"/>
          <w:szCs w:val="24"/>
        </w:rPr>
        <w:t xml:space="preserve">  甲方：                                   乙方： </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 xml:space="preserve">  地址：                                   地址： </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eastAsia="宋体" w:cs="宋体"/>
          <w:sz w:val="24"/>
          <w:szCs w:val="24"/>
        </w:rPr>
      </w:pPr>
      <w:r>
        <w:rPr>
          <w:rFonts w:hint="eastAsia" w:ascii="宋体" w:hAnsi="宋体" w:eastAsia="宋体" w:cs="宋体"/>
          <w:sz w:val="24"/>
          <w:szCs w:val="24"/>
        </w:rPr>
        <w:t xml:space="preserve">  法定（授权）代表人：                     法定（授权）代表人：</w:t>
      </w:r>
    </w:p>
    <w:p>
      <w:pPr>
        <w:pStyle w:val="31"/>
        <w:keepNext w:val="0"/>
        <w:keepLines w:val="0"/>
        <w:pageBreakBefore w:val="0"/>
        <w:kinsoku/>
        <w:wordWrap/>
        <w:overflowPunct/>
        <w:topLinePunct w:val="0"/>
        <w:bidi w:val="0"/>
        <w:adjustRightInd w:val="0"/>
        <w:snapToGrid w:val="0"/>
        <w:spacing w:before="120" w:after="120" w:line="380" w:lineRule="exact"/>
        <w:rPr>
          <w:rFonts w:hint="eastAsia" w:ascii="宋体" w:hAnsi="宋体" w:cs="宋体"/>
          <w:b/>
          <w:sz w:val="36"/>
          <w:szCs w:val="36"/>
        </w:rPr>
      </w:pPr>
      <w:r>
        <w:rPr>
          <w:rFonts w:hint="eastAsia" w:ascii="宋体" w:hAnsi="宋体" w:eastAsia="宋体" w:cs="宋体"/>
          <w:sz w:val="24"/>
          <w:szCs w:val="24"/>
        </w:rPr>
        <w:t xml:space="preserve">  签字日期：      年  月  日               签字日期：      年  月  日</w:t>
      </w:r>
    </w:p>
    <w:p>
      <w:pPr>
        <w:adjustRightInd/>
        <w:spacing w:line="360" w:lineRule="auto"/>
        <w:jc w:val="center"/>
        <w:rPr>
          <w:rFonts w:hint="eastAsia" w:ascii="宋体" w:hAnsi="宋体" w:cs="宋体"/>
          <w:b/>
          <w:sz w:val="36"/>
          <w:szCs w:val="36"/>
        </w:rPr>
      </w:pPr>
    </w:p>
    <w:p>
      <w:pPr>
        <w:adjustRightInd/>
        <w:spacing w:line="360" w:lineRule="auto"/>
        <w:jc w:val="both"/>
        <w:rPr>
          <w:rFonts w:hint="eastAsia" w:ascii="宋体" w:hAnsi="宋体" w:cs="宋体"/>
          <w:b/>
          <w:sz w:val="36"/>
          <w:szCs w:val="36"/>
        </w:rPr>
      </w:pPr>
    </w:p>
    <w:p>
      <w:pPr>
        <w:adjustRightInd/>
        <w:spacing w:line="360" w:lineRule="auto"/>
        <w:jc w:val="center"/>
        <w:rPr>
          <w:rFonts w:hint="eastAsia" w:ascii="宋体" w:hAnsi="宋体" w:cs="宋体"/>
          <w:b/>
          <w:sz w:val="36"/>
          <w:szCs w:val="36"/>
        </w:rPr>
      </w:pPr>
      <w:r>
        <w:rPr>
          <w:rFonts w:hint="eastAsia" w:ascii="宋体" w:hAnsi="宋体" w:cs="宋体"/>
          <w:b/>
          <w:sz w:val="36"/>
          <w:szCs w:val="36"/>
        </w:rPr>
        <w:t xml:space="preserve">第六部分   </w:t>
      </w:r>
      <w:bookmarkStart w:id="27" w:name="_Toc184308095"/>
      <w:bookmarkEnd w:id="27"/>
      <w:bookmarkStart w:id="28" w:name="_Toc184314479"/>
      <w:bookmarkEnd w:id="28"/>
      <w:bookmarkStart w:id="29" w:name="_Toc184308039"/>
      <w:bookmarkEnd w:id="29"/>
      <w:bookmarkStart w:id="30" w:name="_Toc184313245"/>
      <w:bookmarkEnd w:id="30"/>
      <w:bookmarkStart w:id="31" w:name="_Toc184314474"/>
      <w:bookmarkEnd w:id="31"/>
      <w:bookmarkStart w:id="32" w:name="_Toc184310272"/>
      <w:bookmarkEnd w:id="32"/>
      <w:bookmarkStart w:id="33" w:name="_Toc184312130"/>
      <w:bookmarkEnd w:id="33"/>
      <w:bookmarkStart w:id="34" w:name="_Toc184308048"/>
      <w:bookmarkEnd w:id="34"/>
      <w:bookmarkStart w:id="35" w:name="_Toc184314411"/>
      <w:bookmarkEnd w:id="35"/>
      <w:bookmarkStart w:id="36" w:name="_Toc184312099"/>
      <w:bookmarkEnd w:id="36"/>
      <w:bookmarkStart w:id="37" w:name="_Toc184308049"/>
      <w:bookmarkEnd w:id="37"/>
      <w:bookmarkStart w:id="38" w:name="_Toc184308051"/>
      <w:bookmarkEnd w:id="38"/>
      <w:bookmarkStart w:id="39" w:name="_Toc184312102"/>
      <w:bookmarkEnd w:id="39"/>
      <w:bookmarkStart w:id="40" w:name="_Toc184310313"/>
      <w:bookmarkEnd w:id="40"/>
      <w:bookmarkStart w:id="41" w:name="_Toc184313246"/>
      <w:bookmarkEnd w:id="41"/>
      <w:bookmarkStart w:id="42" w:name="_Toc184314442"/>
      <w:bookmarkEnd w:id="42"/>
      <w:bookmarkStart w:id="43" w:name="_Toc184312081"/>
      <w:bookmarkEnd w:id="43"/>
      <w:bookmarkStart w:id="44" w:name="_Toc184313264"/>
      <w:bookmarkEnd w:id="44"/>
      <w:bookmarkStart w:id="45" w:name="_Toc184313247"/>
      <w:bookmarkEnd w:id="45"/>
      <w:bookmarkStart w:id="46" w:name="_Toc184314472"/>
      <w:bookmarkEnd w:id="46"/>
      <w:bookmarkStart w:id="47" w:name="_Toc184312073"/>
      <w:bookmarkEnd w:id="47"/>
      <w:bookmarkStart w:id="48" w:name="_Toc184312111"/>
      <w:bookmarkEnd w:id="48"/>
      <w:bookmarkStart w:id="49" w:name="_Toc184312107"/>
      <w:bookmarkEnd w:id="49"/>
      <w:bookmarkStart w:id="50" w:name="_Toc184313297"/>
      <w:bookmarkEnd w:id="50"/>
      <w:bookmarkStart w:id="51" w:name="_Toc184313244"/>
      <w:bookmarkEnd w:id="51"/>
      <w:bookmarkStart w:id="52" w:name="_Toc184308106"/>
      <w:bookmarkEnd w:id="52"/>
      <w:bookmarkStart w:id="53" w:name="_Toc184308075"/>
      <w:bookmarkEnd w:id="53"/>
      <w:bookmarkStart w:id="54" w:name="_Toc184310309"/>
      <w:bookmarkEnd w:id="54"/>
      <w:bookmarkStart w:id="55" w:name="_Toc184308056"/>
      <w:bookmarkEnd w:id="55"/>
      <w:bookmarkStart w:id="56" w:name="_Toc184314470"/>
      <w:bookmarkEnd w:id="56"/>
      <w:bookmarkStart w:id="57" w:name="_Toc184313288"/>
      <w:bookmarkEnd w:id="57"/>
      <w:bookmarkStart w:id="58" w:name="_Toc184310293"/>
      <w:bookmarkEnd w:id="58"/>
      <w:bookmarkStart w:id="59" w:name="_Toc184313280"/>
      <w:bookmarkEnd w:id="59"/>
      <w:bookmarkStart w:id="60" w:name="_Toc184312133"/>
      <w:bookmarkEnd w:id="60"/>
      <w:bookmarkStart w:id="61" w:name="_Toc184308100"/>
      <w:bookmarkEnd w:id="61"/>
      <w:bookmarkStart w:id="62" w:name="_Toc184313277"/>
      <w:bookmarkEnd w:id="62"/>
      <w:bookmarkStart w:id="63" w:name="_Toc184310283"/>
      <w:bookmarkEnd w:id="63"/>
      <w:bookmarkStart w:id="64" w:name="_Toc184312137"/>
      <w:bookmarkEnd w:id="64"/>
      <w:bookmarkStart w:id="65" w:name="_Toc184314448"/>
      <w:bookmarkEnd w:id="65"/>
      <w:bookmarkStart w:id="66" w:name="_Toc184308107"/>
      <w:bookmarkEnd w:id="66"/>
      <w:bookmarkStart w:id="67" w:name="_Toc184312100"/>
      <w:bookmarkEnd w:id="67"/>
      <w:bookmarkStart w:id="68" w:name="_Toc184314476"/>
      <w:bookmarkEnd w:id="68"/>
      <w:bookmarkStart w:id="69" w:name="_Toc184308086"/>
      <w:bookmarkEnd w:id="69"/>
      <w:bookmarkStart w:id="70" w:name="_Toc184313285"/>
      <w:bookmarkEnd w:id="70"/>
      <w:bookmarkStart w:id="71" w:name="_Toc184312104"/>
      <w:bookmarkEnd w:id="71"/>
      <w:bookmarkStart w:id="72" w:name="_Toc184312084"/>
      <w:bookmarkEnd w:id="72"/>
      <w:bookmarkStart w:id="73" w:name="_Toc184308055"/>
      <w:bookmarkEnd w:id="73"/>
      <w:bookmarkStart w:id="74" w:name="_Toc184312080"/>
      <w:bookmarkEnd w:id="74"/>
      <w:bookmarkStart w:id="75" w:name="_Toc184313308"/>
      <w:bookmarkEnd w:id="75"/>
      <w:bookmarkStart w:id="76" w:name="_Toc184312076"/>
      <w:bookmarkEnd w:id="76"/>
      <w:bookmarkStart w:id="77" w:name="_Toc184314422"/>
      <w:bookmarkEnd w:id="77"/>
      <w:bookmarkStart w:id="78" w:name="_Toc184313239"/>
      <w:bookmarkEnd w:id="78"/>
      <w:bookmarkStart w:id="79" w:name="_Toc184308104"/>
      <w:bookmarkEnd w:id="79"/>
      <w:bookmarkStart w:id="80" w:name="_Toc184312115"/>
      <w:bookmarkEnd w:id="80"/>
      <w:bookmarkStart w:id="81" w:name="_Toc184312120"/>
      <w:bookmarkEnd w:id="81"/>
      <w:bookmarkStart w:id="82" w:name="_Toc184312139"/>
      <w:bookmarkEnd w:id="82"/>
      <w:bookmarkStart w:id="83" w:name="_Toc184312077"/>
      <w:bookmarkEnd w:id="83"/>
      <w:bookmarkStart w:id="84" w:name="_Toc184308105"/>
      <w:bookmarkEnd w:id="84"/>
      <w:bookmarkStart w:id="85" w:name="_Toc184308036"/>
      <w:bookmarkEnd w:id="85"/>
      <w:bookmarkStart w:id="86" w:name="_Toc184313251"/>
      <w:bookmarkEnd w:id="86"/>
      <w:bookmarkStart w:id="87" w:name="_Toc184308094"/>
      <w:bookmarkEnd w:id="87"/>
      <w:bookmarkStart w:id="88" w:name="_Toc184314471"/>
      <w:bookmarkEnd w:id="88"/>
      <w:bookmarkStart w:id="89" w:name="_Toc184308070"/>
      <w:bookmarkEnd w:id="89"/>
      <w:bookmarkStart w:id="90" w:name="_Toc184314443"/>
      <w:bookmarkEnd w:id="90"/>
      <w:bookmarkStart w:id="91" w:name="_Toc184310337"/>
      <w:bookmarkEnd w:id="91"/>
      <w:bookmarkStart w:id="92" w:name="_Toc184313256"/>
      <w:bookmarkEnd w:id="92"/>
      <w:bookmarkStart w:id="93" w:name="_Toc184310334"/>
      <w:bookmarkEnd w:id="93"/>
      <w:bookmarkStart w:id="94" w:name="_Toc184313253"/>
      <w:bookmarkEnd w:id="94"/>
      <w:bookmarkStart w:id="95" w:name="_Toc184310322"/>
      <w:bookmarkEnd w:id="95"/>
      <w:bookmarkStart w:id="96" w:name="_Toc184313290"/>
      <w:bookmarkEnd w:id="96"/>
      <w:bookmarkStart w:id="97" w:name="_Toc184310294"/>
      <w:bookmarkEnd w:id="97"/>
      <w:bookmarkStart w:id="98" w:name="_Toc184310333"/>
      <w:bookmarkEnd w:id="98"/>
      <w:bookmarkStart w:id="99" w:name="_Toc184312118"/>
      <w:bookmarkEnd w:id="99"/>
      <w:bookmarkStart w:id="100" w:name="_Toc184312074"/>
      <w:bookmarkEnd w:id="100"/>
      <w:bookmarkStart w:id="101" w:name="_Toc184312067"/>
      <w:bookmarkEnd w:id="101"/>
      <w:bookmarkStart w:id="102" w:name="_Toc184312124"/>
      <w:bookmarkEnd w:id="102"/>
      <w:bookmarkStart w:id="103" w:name="_Toc184310307"/>
      <w:bookmarkEnd w:id="103"/>
      <w:bookmarkStart w:id="104" w:name="_Toc184308082"/>
      <w:bookmarkEnd w:id="104"/>
      <w:bookmarkStart w:id="105" w:name="_Toc184310274"/>
      <w:bookmarkEnd w:id="105"/>
      <w:bookmarkStart w:id="106" w:name="_Toc184310289"/>
      <w:bookmarkEnd w:id="106"/>
      <w:bookmarkStart w:id="107" w:name="_Toc184312078"/>
      <w:bookmarkEnd w:id="107"/>
      <w:bookmarkStart w:id="108" w:name="_Toc184310343"/>
      <w:bookmarkEnd w:id="108"/>
      <w:bookmarkStart w:id="109" w:name="_Toc184310340"/>
      <w:bookmarkEnd w:id="109"/>
      <w:bookmarkStart w:id="110" w:name="_Toc184314468"/>
      <w:bookmarkEnd w:id="110"/>
      <w:bookmarkStart w:id="111" w:name="_Toc184308059"/>
      <w:bookmarkEnd w:id="111"/>
      <w:bookmarkStart w:id="112" w:name="_Toc184312072"/>
      <w:bookmarkEnd w:id="112"/>
      <w:bookmarkStart w:id="113" w:name="_Toc184314441"/>
      <w:bookmarkEnd w:id="113"/>
      <w:bookmarkStart w:id="114" w:name="_Toc184313242"/>
      <w:bookmarkEnd w:id="114"/>
      <w:bookmarkStart w:id="115" w:name="_Toc184314456"/>
      <w:bookmarkEnd w:id="115"/>
      <w:bookmarkStart w:id="116" w:name="_Toc184313266"/>
      <w:bookmarkEnd w:id="116"/>
      <w:bookmarkStart w:id="117" w:name="_Toc184308085"/>
      <w:bookmarkEnd w:id="117"/>
      <w:bookmarkStart w:id="118" w:name="_Toc184310314"/>
      <w:bookmarkEnd w:id="118"/>
      <w:bookmarkStart w:id="119" w:name="_Toc184314460"/>
      <w:bookmarkEnd w:id="119"/>
      <w:bookmarkStart w:id="120" w:name="_Toc184312093"/>
      <w:bookmarkEnd w:id="120"/>
      <w:bookmarkStart w:id="121" w:name="_Toc184308069"/>
      <w:bookmarkEnd w:id="121"/>
      <w:bookmarkStart w:id="122" w:name="_Toc184312125"/>
      <w:bookmarkEnd w:id="122"/>
      <w:bookmarkStart w:id="123" w:name="_Toc184310284"/>
      <w:bookmarkEnd w:id="123"/>
      <w:bookmarkStart w:id="124" w:name="_Toc184314425"/>
      <w:bookmarkEnd w:id="124"/>
      <w:bookmarkStart w:id="125" w:name="_Toc184308077"/>
      <w:bookmarkEnd w:id="125"/>
      <w:bookmarkStart w:id="126" w:name="_Toc184314481"/>
      <w:bookmarkEnd w:id="126"/>
      <w:bookmarkStart w:id="127" w:name="_Toc184310278"/>
      <w:bookmarkEnd w:id="127"/>
      <w:bookmarkStart w:id="128" w:name="_Toc184313292"/>
      <w:bookmarkEnd w:id="128"/>
      <w:bookmarkStart w:id="129" w:name="_Toc184313278"/>
      <w:bookmarkEnd w:id="129"/>
      <w:bookmarkStart w:id="130" w:name="_Toc184312135"/>
      <w:bookmarkEnd w:id="130"/>
      <w:bookmarkStart w:id="131" w:name="_Toc184312070"/>
      <w:bookmarkEnd w:id="131"/>
      <w:bookmarkStart w:id="132" w:name="_Toc184313301"/>
      <w:bookmarkEnd w:id="132"/>
      <w:bookmarkStart w:id="133" w:name="_Toc184310328"/>
      <w:bookmarkEnd w:id="133"/>
      <w:bookmarkStart w:id="134" w:name="_Toc184312114"/>
      <w:bookmarkEnd w:id="134"/>
      <w:bookmarkStart w:id="135" w:name="_Toc184308071"/>
      <w:bookmarkEnd w:id="135"/>
      <w:bookmarkStart w:id="136" w:name="_Toc184314466"/>
      <w:bookmarkEnd w:id="136"/>
      <w:bookmarkStart w:id="137" w:name="_Toc184312131"/>
      <w:bookmarkEnd w:id="137"/>
      <w:bookmarkStart w:id="138" w:name="_Toc184308088"/>
      <w:bookmarkEnd w:id="138"/>
      <w:bookmarkStart w:id="139" w:name="_Toc184314410"/>
      <w:bookmarkEnd w:id="139"/>
      <w:bookmarkStart w:id="140" w:name="_Toc184310299"/>
      <w:bookmarkEnd w:id="140"/>
      <w:bookmarkStart w:id="141" w:name="_Toc184310324"/>
      <w:bookmarkEnd w:id="141"/>
      <w:bookmarkStart w:id="142" w:name="_Toc184308067"/>
      <w:bookmarkEnd w:id="142"/>
      <w:bookmarkStart w:id="143" w:name="_Toc184314475"/>
      <w:bookmarkEnd w:id="143"/>
      <w:bookmarkStart w:id="144" w:name="_Toc184310275"/>
      <w:bookmarkEnd w:id="144"/>
      <w:bookmarkStart w:id="145" w:name="_Toc184308089"/>
      <w:bookmarkEnd w:id="145"/>
      <w:bookmarkStart w:id="146" w:name="_Toc184314435"/>
      <w:bookmarkEnd w:id="146"/>
      <w:bookmarkStart w:id="147" w:name="_Toc184308072"/>
      <w:bookmarkEnd w:id="147"/>
      <w:bookmarkStart w:id="148" w:name="_Toc184312095"/>
      <w:bookmarkEnd w:id="148"/>
      <w:bookmarkStart w:id="149" w:name="_Toc184313289"/>
      <w:bookmarkEnd w:id="149"/>
      <w:bookmarkStart w:id="150" w:name="_Toc184308068"/>
      <w:bookmarkEnd w:id="150"/>
      <w:bookmarkStart w:id="151" w:name="_Toc184312094"/>
      <w:bookmarkEnd w:id="151"/>
      <w:bookmarkStart w:id="152" w:name="_Toc184313240"/>
      <w:bookmarkEnd w:id="152"/>
      <w:bookmarkStart w:id="153" w:name="_Toc184310308"/>
      <w:bookmarkEnd w:id="153"/>
      <w:bookmarkStart w:id="154" w:name="_Toc184308092"/>
      <w:bookmarkEnd w:id="154"/>
      <w:bookmarkStart w:id="155" w:name="_Toc184314467"/>
      <w:bookmarkEnd w:id="155"/>
      <w:bookmarkStart w:id="156" w:name="_Toc184314440"/>
      <w:bookmarkEnd w:id="156"/>
      <w:bookmarkStart w:id="157" w:name="_Toc184312108"/>
      <w:bookmarkEnd w:id="157"/>
      <w:bookmarkStart w:id="158" w:name="_Toc184314465"/>
      <w:bookmarkEnd w:id="158"/>
      <w:bookmarkStart w:id="159" w:name="_Toc184313275"/>
      <w:bookmarkEnd w:id="159"/>
      <w:bookmarkStart w:id="160" w:name="_Toc184310319"/>
      <w:bookmarkEnd w:id="160"/>
      <w:bookmarkStart w:id="161" w:name="_Toc184314473"/>
      <w:bookmarkEnd w:id="161"/>
      <w:bookmarkStart w:id="162" w:name="_Toc184312097"/>
      <w:bookmarkEnd w:id="162"/>
      <w:bookmarkStart w:id="163" w:name="_Toc184314414"/>
      <w:bookmarkEnd w:id="163"/>
      <w:bookmarkStart w:id="164" w:name="_Toc184314482"/>
      <w:bookmarkEnd w:id="164"/>
      <w:bookmarkStart w:id="165" w:name="_Toc184308076"/>
      <w:bookmarkEnd w:id="165"/>
      <w:bookmarkStart w:id="166" w:name="_Toc184310342"/>
      <w:bookmarkEnd w:id="166"/>
      <w:bookmarkStart w:id="167" w:name="_Toc184310317"/>
      <w:bookmarkEnd w:id="167"/>
      <w:bookmarkStart w:id="168" w:name="_Toc184313260"/>
      <w:bookmarkEnd w:id="168"/>
      <w:bookmarkStart w:id="169" w:name="_Toc184313298"/>
      <w:bookmarkEnd w:id="169"/>
      <w:bookmarkStart w:id="170" w:name="_Toc184310273"/>
      <w:bookmarkEnd w:id="170"/>
      <w:bookmarkStart w:id="171" w:name="_Toc184310277"/>
      <w:bookmarkEnd w:id="171"/>
      <w:bookmarkStart w:id="172" w:name="_Toc184308063"/>
      <w:bookmarkEnd w:id="172"/>
      <w:bookmarkStart w:id="173" w:name="_Toc184308053"/>
      <w:bookmarkEnd w:id="173"/>
      <w:bookmarkStart w:id="174" w:name="_Toc184312126"/>
      <w:bookmarkEnd w:id="174"/>
      <w:bookmarkStart w:id="175" w:name="_Toc184314463"/>
      <w:bookmarkEnd w:id="175"/>
      <w:bookmarkStart w:id="176" w:name="_Toc184312068"/>
      <w:bookmarkEnd w:id="176"/>
      <w:bookmarkStart w:id="177" w:name="_Toc184313302"/>
      <w:bookmarkEnd w:id="177"/>
      <w:bookmarkStart w:id="178" w:name="_Toc184310341"/>
      <w:bookmarkEnd w:id="178"/>
      <w:bookmarkStart w:id="179" w:name="_Toc184313250"/>
      <w:bookmarkEnd w:id="179"/>
      <w:bookmarkStart w:id="180" w:name="_Toc184308102"/>
      <w:bookmarkEnd w:id="180"/>
      <w:bookmarkStart w:id="181" w:name="_Toc184313310"/>
      <w:bookmarkEnd w:id="181"/>
      <w:bookmarkStart w:id="182" w:name="_Toc184310315"/>
      <w:bookmarkEnd w:id="182"/>
      <w:bookmarkStart w:id="183" w:name="_Toc184312116"/>
      <w:bookmarkEnd w:id="183"/>
      <w:bookmarkStart w:id="184" w:name="_Toc184310321"/>
      <w:bookmarkEnd w:id="184"/>
      <w:bookmarkStart w:id="185" w:name="_Toc184313273"/>
      <w:bookmarkEnd w:id="185"/>
      <w:bookmarkStart w:id="186" w:name="_Toc184312109"/>
      <w:bookmarkEnd w:id="186"/>
      <w:bookmarkStart w:id="187" w:name="_Toc184313300"/>
      <w:bookmarkEnd w:id="187"/>
      <w:bookmarkStart w:id="188" w:name="_Toc184312096"/>
      <w:bookmarkEnd w:id="188"/>
      <w:bookmarkStart w:id="189" w:name="_Toc184308084"/>
      <w:bookmarkEnd w:id="189"/>
      <w:bookmarkStart w:id="190" w:name="_Toc184313262"/>
      <w:bookmarkEnd w:id="190"/>
      <w:bookmarkStart w:id="191" w:name="_Toc184314457"/>
      <w:bookmarkEnd w:id="191"/>
      <w:bookmarkStart w:id="192" w:name="_Toc184313307"/>
      <w:bookmarkEnd w:id="192"/>
      <w:bookmarkStart w:id="193" w:name="_Toc184310331"/>
      <w:bookmarkEnd w:id="193"/>
      <w:bookmarkStart w:id="194" w:name="_Toc184312110"/>
      <w:bookmarkEnd w:id="194"/>
      <w:bookmarkStart w:id="195" w:name="_Toc184308099"/>
      <w:bookmarkEnd w:id="195"/>
      <w:bookmarkStart w:id="196" w:name="_Toc184313271"/>
      <w:bookmarkEnd w:id="196"/>
      <w:bookmarkStart w:id="197" w:name="_Toc184314412"/>
      <w:bookmarkEnd w:id="197"/>
      <w:bookmarkStart w:id="198" w:name="_Toc184308054"/>
      <w:bookmarkEnd w:id="198"/>
      <w:bookmarkStart w:id="199" w:name="_Toc184310310"/>
      <w:bookmarkEnd w:id="199"/>
      <w:bookmarkStart w:id="200" w:name="_Toc184312128"/>
      <w:bookmarkEnd w:id="200"/>
      <w:bookmarkStart w:id="201" w:name="_Toc184308045"/>
      <w:bookmarkEnd w:id="201"/>
      <w:bookmarkStart w:id="202" w:name="_Toc184314418"/>
      <w:bookmarkEnd w:id="202"/>
      <w:bookmarkStart w:id="203" w:name="_Toc184308090"/>
      <w:bookmarkEnd w:id="203"/>
      <w:bookmarkStart w:id="204" w:name="_Toc184314452"/>
      <w:bookmarkEnd w:id="204"/>
      <w:bookmarkStart w:id="205" w:name="_Toc184314424"/>
      <w:bookmarkEnd w:id="205"/>
      <w:bookmarkStart w:id="206" w:name="_Toc184308091"/>
      <w:bookmarkEnd w:id="206"/>
      <w:bookmarkStart w:id="207" w:name="_Toc184314447"/>
      <w:bookmarkEnd w:id="207"/>
      <w:bookmarkStart w:id="208" w:name="_Toc184313249"/>
      <w:bookmarkEnd w:id="208"/>
      <w:bookmarkStart w:id="209" w:name="_Toc184310330"/>
      <w:bookmarkEnd w:id="209"/>
      <w:bookmarkStart w:id="210" w:name="_Toc184314438"/>
      <w:bookmarkEnd w:id="210"/>
      <w:bookmarkStart w:id="211" w:name="_Toc184308078"/>
      <w:bookmarkEnd w:id="211"/>
      <w:bookmarkStart w:id="212" w:name="_Toc184313258"/>
      <w:bookmarkEnd w:id="212"/>
      <w:bookmarkStart w:id="213" w:name="_Toc184314446"/>
      <w:bookmarkEnd w:id="213"/>
      <w:bookmarkStart w:id="214" w:name="_Toc184314430"/>
      <w:bookmarkEnd w:id="214"/>
      <w:bookmarkStart w:id="215" w:name="_Toc184314453"/>
      <w:bookmarkEnd w:id="215"/>
      <w:bookmarkStart w:id="216" w:name="_Toc184308065"/>
      <w:bookmarkEnd w:id="216"/>
      <w:bookmarkStart w:id="217" w:name="_Toc184313252"/>
      <w:bookmarkEnd w:id="217"/>
      <w:bookmarkStart w:id="218" w:name="_Toc184314461"/>
      <w:bookmarkEnd w:id="218"/>
      <w:bookmarkStart w:id="219" w:name="_Toc184312117"/>
      <w:bookmarkEnd w:id="219"/>
      <w:bookmarkStart w:id="220" w:name="_Toc184312121"/>
      <w:bookmarkEnd w:id="220"/>
      <w:bookmarkStart w:id="221" w:name="_Toc184308098"/>
      <w:bookmarkEnd w:id="221"/>
      <w:bookmarkStart w:id="222" w:name="_Toc184308103"/>
      <w:bookmarkEnd w:id="222"/>
      <w:bookmarkStart w:id="223" w:name="_Toc184314451"/>
      <w:bookmarkEnd w:id="223"/>
      <w:bookmarkStart w:id="224" w:name="_Toc184310296"/>
      <w:bookmarkEnd w:id="224"/>
      <w:bookmarkStart w:id="225" w:name="_Toc184312088"/>
      <w:bookmarkEnd w:id="225"/>
      <w:bookmarkStart w:id="226" w:name="_Toc184314449"/>
      <w:bookmarkEnd w:id="226"/>
      <w:bookmarkStart w:id="227" w:name="_Toc184310292"/>
      <w:bookmarkEnd w:id="227"/>
      <w:bookmarkStart w:id="228" w:name="_Toc184308064"/>
      <w:bookmarkEnd w:id="228"/>
      <w:bookmarkStart w:id="229" w:name="_Toc184312071"/>
      <w:bookmarkEnd w:id="229"/>
      <w:bookmarkStart w:id="230" w:name="_Toc184313309"/>
      <w:bookmarkEnd w:id="230"/>
      <w:bookmarkStart w:id="231" w:name="_Toc184310297"/>
      <w:bookmarkEnd w:id="231"/>
      <w:bookmarkStart w:id="232" w:name="_Toc184308037"/>
      <w:bookmarkEnd w:id="232"/>
      <w:bookmarkStart w:id="233" w:name="_Toc184312119"/>
      <w:bookmarkEnd w:id="233"/>
      <w:bookmarkStart w:id="234" w:name="_Toc184310295"/>
      <w:bookmarkEnd w:id="234"/>
      <w:bookmarkStart w:id="235" w:name="_Toc184308052"/>
      <w:bookmarkEnd w:id="235"/>
      <w:bookmarkStart w:id="236" w:name="_Toc184313294"/>
      <w:bookmarkEnd w:id="236"/>
      <w:bookmarkStart w:id="237" w:name="_Toc184314432"/>
      <w:bookmarkEnd w:id="237"/>
      <w:bookmarkStart w:id="238" w:name="_Toc184313257"/>
      <w:bookmarkEnd w:id="238"/>
      <w:bookmarkStart w:id="239" w:name="_Toc184313279"/>
      <w:bookmarkEnd w:id="239"/>
      <w:bookmarkStart w:id="240" w:name="_Toc184310336"/>
      <w:bookmarkEnd w:id="240"/>
      <w:bookmarkStart w:id="241" w:name="_Toc184313284"/>
      <w:bookmarkEnd w:id="241"/>
      <w:bookmarkStart w:id="242" w:name="_Toc184312086"/>
      <w:bookmarkEnd w:id="242"/>
      <w:bookmarkStart w:id="243" w:name="_Toc184314478"/>
      <w:bookmarkEnd w:id="243"/>
      <w:bookmarkStart w:id="244" w:name="_Toc184310281"/>
      <w:bookmarkEnd w:id="244"/>
      <w:bookmarkStart w:id="245" w:name="_Toc184310300"/>
      <w:bookmarkEnd w:id="245"/>
      <w:bookmarkStart w:id="246" w:name="_Toc184310291"/>
      <w:bookmarkEnd w:id="246"/>
      <w:bookmarkStart w:id="247" w:name="_Toc184308041"/>
      <w:bookmarkEnd w:id="247"/>
      <w:bookmarkStart w:id="248" w:name="_Toc184314431"/>
      <w:bookmarkEnd w:id="248"/>
      <w:bookmarkStart w:id="249" w:name="_Toc184312079"/>
      <w:bookmarkEnd w:id="249"/>
      <w:bookmarkStart w:id="250" w:name="_Toc184313293"/>
      <w:bookmarkEnd w:id="250"/>
      <w:bookmarkStart w:id="251" w:name="_Toc184313299"/>
      <w:bookmarkEnd w:id="251"/>
      <w:bookmarkStart w:id="252" w:name="_Toc184308087"/>
      <w:bookmarkEnd w:id="252"/>
      <w:bookmarkStart w:id="253" w:name="_Toc184312105"/>
      <w:bookmarkEnd w:id="253"/>
      <w:bookmarkStart w:id="254" w:name="_Toc184314445"/>
      <w:bookmarkEnd w:id="254"/>
      <w:bookmarkStart w:id="255" w:name="_Toc184308074"/>
      <w:bookmarkEnd w:id="255"/>
      <w:bookmarkStart w:id="256" w:name="_Toc184308073"/>
      <w:bookmarkEnd w:id="256"/>
      <w:bookmarkStart w:id="257" w:name="_Toc184312101"/>
      <w:bookmarkEnd w:id="257"/>
      <w:bookmarkStart w:id="258" w:name="_Toc184313270"/>
      <w:bookmarkEnd w:id="258"/>
      <w:bookmarkStart w:id="259" w:name="_Toc184308079"/>
      <w:bookmarkEnd w:id="259"/>
      <w:bookmarkStart w:id="260" w:name="_Toc184312134"/>
      <w:bookmarkEnd w:id="260"/>
      <w:bookmarkStart w:id="261" w:name="_Toc184312090"/>
      <w:bookmarkEnd w:id="261"/>
      <w:bookmarkStart w:id="262" w:name="_Toc184314458"/>
      <w:bookmarkEnd w:id="262"/>
      <w:bookmarkStart w:id="263" w:name="_Toc184314455"/>
      <w:bookmarkEnd w:id="263"/>
      <w:bookmarkStart w:id="264" w:name="_Toc184313287"/>
      <w:bookmarkEnd w:id="264"/>
      <w:bookmarkStart w:id="265" w:name="_Toc184312138"/>
      <w:bookmarkEnd w:id="265"/>
      <w:bookmarkStart w:id="266" w:name="_Toc184308058"/>
      <w:bookmarkEnd w:id="266"/>
      <w:bookmarkStart w:id="267" w:name="_Toc184314437"/>
      <w:bookmarkEnd w:id="267"/>
      <w:bookmarkStart w:id="268" w:name="_Toc184314426"/>
      <w:bookmarkEnd w:id="268"/>
      <w:bookmarkStart w:id="269" w:name="_Toc184308044"/>
      <w:bookmarkEnd w:id="269"/>
      <w:bookmarkStart w:id="270" w:name="_Toc184310329"/>
      <w:bookmarkEnd w:id="270"/>
      <w:bookmarkStart w:id="271" w:name="_Toc184310282"/>
      <w:bookmarkEnd w:id="271"/>
      <w:bookmarkStart w:id="272" w:name="_Toc184310332"/>
      <w:bookmarkEnd w:id="272"/>
      <w:bookmarkStart w:id="273" w:name="_Toc184313254"/>
      <w:bookmarkEnd w:id="273"/>
      <w:bookmarkStart w:id="274" w:name="_Toc184312106"/>
      <w:bookmarkEnd w:id="274"/>
      <w:bookmarkStart w:id="275" w:name="_Toc184312129"/>
      <w:bookmarkEnd w:id="275"/>
      <w:bookmarkStart w:id="276" w:name="_Toc184308062"/>
      <w:bookmarkEnd w:id="276"/>
      <w:bookmarkStart w:id="277" w:name="_Toc184308081"/>
      <w:bookmarkEnd w:id="277"/>
      <w:bookmarkStart w:id="278" w:name="_Toc184314420"/>
      <w:bookmarkEnd w:id="278"/>
      <w:bookmarkStart w:id="279" w:name="_Toc184314454"/>
      <w:bookmarkEnd w:id="279"/>
      <w:bookmarkStart w:id="280" w:name="_Toc184308093"/>
      <w:bookmarkEnd w:id="280"/>
      <w:bookmarkStart w:id="281" w:name="_Toc184308043"/>
      <w:bookmarkEnd w:id="281"/>
      <w:bookmarkStart w:id="282" w:name="_Toc184310287"/>
      <w:bookmarkEnd w:id="282"/>
      <w:bookmarkStart w:id="283" w:name="_Toc184313238"/>
      <w:bookmarkEnd w:id="283"/>
      <w:bookmarkStart w:id="284" w:name="_Toc184310326"/>
      <w:bookmarkEnd w:id="284"/>
      <w:bookmarkStart w:id="285" w:name="_Toc184314423"/>
      <w:bookmarkEnd w:id="285"/>
      <w:bookmarkStart w:id="286" w:name="_Toc184313305"/>
      <w:bookmarkEnd w:id="286"/>
      <w:bookmarkStart w:id="287" w:name="_Toc184308066"/>
      <w:bookmarkEnd w:id="287"/>
      <w:bookmarkStart w:id="288" w:name="_Toc184310318"/>
      <w:bookmarkEnd w:id="288"/>
      <w:bookmarkStart w:id="289" w:name="_Toc184310302"/>
      <w:bookmarkEnd w:id="289"/>
      <w:bookmarkStart w:id="290" w:name="_Toc184308046"/>
      <w:bookmarkEnd w:id="290"/>
      <w:bookmarkStart w:id="291" w:name="_Toc184313248"/>
      <w:bookmarkEnd w:id="291"/>
      <w:bookmarkStart w:id="292" w:name="_Toc184312123"/>
      <w:bookmarkEnd w:id="292"/>
      <w:bookmarkStart w:id="293" w:name="_Toc184308050"/>
      <w:bookmarkEnd w:id="293"/>
      <w:bookmarkStart w:id="294" w:name="_Toc184313272"/>
      <w:bookmarkEnd w:id="294"/>
      <w:bookmarkStart w:id="295" w:name="_Toc184313276"/>
      <w:bookmarkEnd w:id="295"/>
      <w:bookmarkStart w:id="296" w:name="_Toc184313243"/>
      <w:bookmarkEnd w:id="296"/>
      <w:bookmarkStart w:id="297" w:name="_Toc184313261"/>
      <w:bookmarkEnd w:id="297"/>
      <w:bookmarkStart w:id="298" w:name="_Toc184312127"/>
      <w:bookmarkEnd w:id="298"/>
      <w:bookmarkStart w:id="299" w:name="_Toc184310304"/>
      <w:bookmarkEnd w:id="299"/>
      <w:bookmarkStart w:id="300" w:name="_Toc184314417"/>
      <w:bookmarkEnd w:id="300"/>
      <w:bookmarkStart w:id="301" w:name="_Toc184313286"/>
      <w:bookmarkEnd w:id="301"/>
      <w:bookmarkStart w:id="302" w:name="_Toc184313268"/>
      <w:bookmarkEnd w:id="302"/>
      <w:bookmarkStart w:id="303" w:name="_Toc184312083"/>
      <w:bookmarkEnd w:id="303"/>
      <w:bookmarkStart w:id="304" w:name="_Toc184308101"/>
      <w:bookmarkEnd w:id="304"/>
      <w:bookmarkStart w:id="305" w:name="_Toc184313306"/>
      <w:bookmarkEnd w:id="305"/>
      <w:bookmarkStart w:id="306" w:name="_Toc184310298"/>
      <w:bookmarkEnd w:id="306"/>
      <w:bookmarkStart w:id="307" w:name="_Toc184310288"/>
      <w:bookmarkEnd w:id="307"/>
      <w:bookmarkStart w:id="308" w:name="_Toc184314429"/>
      <w:bookmarkEnd w:id="308"/>
      <w:bookmarkStart w:id="309" w:name="_Toc184314439"/>
      <w:bookmarkEnd w:id="309"/>
      <w:bookmarkStart w:id="310" w:name="_Toc184312092"/>
      <w:bookmarkEnd w:id="310"/>
      <w:bookmarkStart w:id="311" w:name="_Toc184310311"/>
      <w:bookmarkEnd w:id="311"/>
      <w:bookmarkStart w:id="312" w:name="_Toc184314415"/>
      <w:bookmarkEnd w:id="312"/>
      <w:bookmarkStart w:id="313" w:name="_Toc184314428"/>
      <w:bookmarkEnd w:id="313"/>
      <w:bookmarkStart w:id="314" w:name="_Toc184312069"/>
      <w:bookmarkEnd w:id="314"/>
      <w:bookmarkStart w:id="315" w:name="_Toc184310339"/>
      <w:bookmarkEnd w:id="315"/>
      <w:bookmarkStart w:id="316" w:name="_Toc184314419"/>
      <w:bookmarkEnd w:id="316"/>
      <w:bookmarkStart w:id="317" w:name="_Toc184310320"/>
      <w:bookmarkEnd w:id="317"/>
      <w:bookmarkStart w:id="318" w:name="_Toc184313304"/>
      <w:bookmarkEnd w:id="318"/>
      <w:bookmarkStart w:id="319" w:name="_Toc184310316"/>
      <w:bookmarkEnd w:id="319"/>
      <w:bookmarkStart w:id="320" w:name="_Toc184308080"/>
      <w:bookmarkEnd w:id="320"/>
      <w:bookmarkStart w:id="321" w:name="_Toc184313296"/>
      <w:bookmarkEnd w:id="321"/>
      <w:bookmarkStart w:id="322" w:name="_Toc184308038"/>
      <w:bookmarkEnd w:id="322"/>
      <w:bookmarkStart w:id="323" w:name="_Toc184312075"/>
      <w:bookmarkEnd w:id="323"/>
      <w:bookmarkStart w:id="324" w:name="_Toc184314450"/>
      <w:bookmarkEnd w:id="324"/>
      <w:bookmarkStart w:id="325" w:name="_Toc184310286"/>
      <w:bookmarkEnd w:id="325"/>
      <w:bookmarkStart w:id="326" w:name="_Toc184308057"/>
      <w:bookmarkEnd w:id="326"/>
      <w:bookmarkStart w:id="327" w:name="_Toc184313269"/>
      <w:bookmarkEnd w:id="327"/>
      <w:bookmarkStart w:id="328" w:name="_Toc184310312"/>
      <w:bookmarkEnd w:id="328"/>
      <w:bookmarkStart w:id="329" w:name="_Toc184310285"/>
      <w:bookmarkEnd w:id="329"/>
      <w:bookmarkStart w:id="330" w:name="_Toc184312113"/>
      <w:bookmarkEnd w:id="330"/>
      <w:bookmarkStart w:id="331" w:name="_Toc184313282"/>
      <w:bookmarkEnd w:id="331"/>
      <w:bookmarkStart w:id="332" w:name="_Toc184313265"/>
      <w:bookmarkEnd w:id="332"/>
      <w:bookmarkStart w:id="333" w:name="_Toc184312112"/>
      <w:bookmarkEnd w:id="333"/>
      <w:bookmarkStart w:id="334" w:name="_Toc184314444"/>
      <w:bookmarkEnd w:id="334"/>
      <w:bookmarkStart w:id="335" w:name="_Toc184308097"/>
      <w:bookmarkEnd w:id="335"/>
      <w:bookmarkStart w:id="336" w:name="_Toc184308042"/>
      <w:bookmarkEnd w:id="336"/>
      <w:bookmarkStart w:id="337" w:name="_Toc184310301"/>
      <w:bookmarkEnd w:id="337"/>
      <w:bookmarkStart w:id="338" w:name="_Toc184314462"/>
      <w:bookmarkEnd w:id="338"/>
      <w:bookmarkStart w:id="339" w:name="_Toc184308061"/>
      <w:bookmarkEnd w:id="339"/>
      <w:bookmarkStart w:id="340" w:name="_Toc184312136"/>
      <w:bookmarkEnd w:id="340"/>
      <w:bookmarkStart w:id="341" w:name="_Toc184310279"/>
      <w:bookmarkEnd w:id="341"/>
      <w:bookmarkStart w:id="342" w:name="_Toc184313283"/>
      <w:bookmarkEnd w:id="342"/>
      <w:bookmarkStart w:id="343" w:name="_Toc184313241"/>
      <w:bookmarkEnd w:id="343"/>
      <w:bookmarkStart w:id="344" w:name="_Toc184313281"/>
      <w:bookmarkEnd w:id="344"/>
      <w:bookmarkStart w:id="345" w:name="_Toc184310338"/>
      <w:bookmarkEnd w:id="345"/>
      <w:bookmarkStart w:id="346" w:name="_Toc184314433"/>
      <w:bookmarkEnd w:id="346"/>
      <w:bookmarkStart w:id="347" w:name="_Toc184310335"/>
      <w:bookmarkEnd w:id="347"/>
      <w:bookmarkStart w:id="348" w:name="_Toc184310276"/>
      <w:bookmarkEnd w:id="348"/>
      <w:bookmarkStart w:id="349" w:name="_Toc184314427"/>
      <w:bookmarkEnd w:id="349"/>
      <w:bookmarkStart w:id="350" w:name="_Toc184313259"/>
      <w:bookmarkEnd w:id="350"/>
      <w:bookmarkStart w:id="351" w:name="_Toc184310280"/>
      <w:bookmarkEnd w:id="351"/>
      <w:bookmarkStart w:id="352" w:name="_Toc184310290"/>
      <w:bookmarkEnd w:id="352"/>
      <w:bookmarkStart w:id="353" w:name="_Toc184308083"/>
      <w:bookmarkEnd w:id="353"/>
      <w:bookmarkStart w:id="354" w:name="_Toc184313303"/>
      <w:bookmarkEnd w:id="354"/>
      <w:bookmarkStart w:id="355" w:name="_Toc184313291"/>
      <w:bookmarkEnd w:id="355"/>
      <w:bookmarkStart w:id="356" w:name="_Toc184314469"/>
      <w:bookmarkEnd w:id="356"/>
      <w:bookmarkStart w:id="357" w:name="_Toc184313263"/>
      <w:bookmarkEnd w:id="357"/>
      <w:bookmarkStart w:id="358" w:name="_Toc184314436"/>
      <w:bookmarkEnd w:id="358"/>
      <w:bookmarkStart w:id="359" w:name="_Toc184314480"/>
      <w:bookmarkEnd w:id="359"/>
      <w:bookmarkStart w:id="360" w:name="_Toc184313267"/>
      <w:bookmarkEnd w:id="360"/>
      <w:bookmarkStart w:id="361" w:name="_Toc184314477"/>
      <w:bookmarkEnd w:id="361"/>
      <w:bookmarkStart w:id="362" w:name="_Toc184310323"/>
      <w:bookmarkEnd w:id="362"/>
      <w:bookmarkStart w:id="363" w:name="_Toc184308047"/>
      <w:bookmarkEnd w:id="363"/>
      <w:bookmarkStart w:id="364" w:name="_Toc184314413"/>
      <w:bookmarkEnd w:id="364"/>
      <w:bookmarkStart w:id="365" w:name="_Toc184312098"/>
      <w:bookmarkEnd w:id="365"/>
      <w:bookmarkStart w:id="366" w:name="_Toc184312091"/>
      <w:bookmarkEnd w:id="366"/>
      <w:bookmarkStart w:id="367" w:name="_Toc184308040"/>
      <w:bookmarkEnd w:id="367"/>
      <w:bookmarkStart w:id="368" w:name="_Toc184314464"/>
      <w:bookmarkEnd w:id="368"/>
      <w:bookmarkStart w:id="369" w:name="_Toc184314421"/>
      <w:bookmarkEnd w:id="369"/>
      <w:bookmarkStart w:id="370" w:name="_Toc184313274"/>
      <w:bookmarkEnd w:id="370"/>
      <w:bookmarkStart w:id="371" w:name="_Toc184308096"/>
      <w:bookmarkEnd w:id="371"/>
      <w:bookmarkStart w:id="372" w:name="_Toc184313255"/>
      <w:bookmarkEnd w:id="372"/>
      <w:bookmarkStart w:id="373" w:name="_Toc184313295"/>
      <w:bookmarkEnd w:id="373"/>
      <w:bookmarkStart w:id="374" w:name="_Toc184312085"/>
      <w:bookmarkEnd w:id="374"/>
      <w:bookmarkStart w:id="375" w:name="_Toc184314416"/>
      <w:bookmarkEnd w:id="375"/>
      <w:bookmarkStart w:id="376" w:name="_Toc184314434"/>
      <w:bookmarkEnd w:id="376"/>
      <w:bookmarkStart w:id="377" w:name="_Toc184312132"/>
      <w:bookmarkEnd w:id="377"/>
      <w:bookmarkStart w:id="378" w:name="_Toc184312089"/>
      <w:bookmarkEnd w:id="378"/>
      <w:bookmarkStart w:id="379" w:name="_Toc184308060"/>
      <w:bookmarkEnd w:id="379"/>
      <w:bookmarkStart w:id="380" w:name="_Toc184310305"/>
      <w:bookmarkEnd w:id="380"/>
      <w:bookmarkStart w:id="381" w:name="_Toc184310344"/>
      <w:bookmarkEnd w:id="381"/>
      <w:bookmarkStart w:id="382" w:name="_Toc184310303"/>
      <w:bookmarkEnd w:id="382"/>
      <w:bookmarkStart w:id="383" w:name="_Toc184312122"/>
      <w:bookmarkEnd w:id="383"/>
      <w:bookmarkStart w:id="384" w:name="_Toc184310306"/>
      <w:bookmarkEnd w:id="384"/>
      <w:bookmarkStart w:id="385" w:name="_Toc184312103"/>
      <w:bookmarkEnd w:id="385"/>
      <w:bookmarkStart w:id="386" w:name="_Toc184312082"/>
      <w:bookmarkEnd w:id="386"/>
      <w:bookmarkStart w:id="387" w:name="_Toc184312087"/>
      <w:bookmarkEnd w:id="387"/>
      <w:bookmarkStart w:id="388" w:name="_Toc184310325"/>
      <w:bookmarkEnd w:id="388"/>
      <w:bookmarkStart w:id="389" w:name="_Toc184314459"/>
      <w:bookmarkEnd w:id="389"/>
      <w:bookmarkStart w:id="390" w:name="_Toc184310327"/>
      <w:bookmarkEnd w:id="390"/>
      <w:bookmarkStart w:id="391" w:name="_Toc184308108"/>
      <w:bookmarkEnd w:id="391"/>
      <w:r>
        <w:rPr>
          <w:rFonts w:hint="eastAsia" w:ascii="宋体" w:hAnsi="宋体" w:cs="宋体"/>
          <w:b/>
          <w:sz w:val="36"/>
          <w:szCs w:val="36"/>
        </w:rPr>
        <w:t xml:space="preserve">投标文件格式 </w:t>
      </w:r>
    </w:p>
    <w:p>
      <w:pPr>
        <w:snapToGrid w:val="0"/>
        <w:spacing w:before="120" w:beforeLines="50" w:after="120" w:afterLines="50"/>
        <w:rPr>
          <w:rFonts w:hint="eastAsia" w:ascii="宋体" w:hAnsi="宋体"/>
          <w:sz w:val="30"/>
        </w:rPr>
      </w:pPr>
      <w:r>
        <w:rPr>
          <w:rFonts w:hint="eastAsia"/>
          <w:b/>
          <w:szCs w:val="21"/>
        </w:rPr>
        <w:t>（注：仅提供部分表式，供参照用，其余未提供的可自拟）</w:t>
      </w:r>
    </w:p>
    <w:p>
      <w:pPr>
        <w:spacing w:line="360" w:lineRule="auto"/>
        <w:rPr>
          <w:rFonts w:hint="eastAsia" w:ascii="宋体" w:hAnsi="宋体" w:cs="宋体"/>
          <w:b/>
          <w:sz w:val="24"/>
        </w:rPr>
      </w:pPr>
      <w:r>
        <w:rPr>
          <w:rFonts w:hint="eastAsia" w:ascii="宋体" w:hAnsi="宋体" w:cs="宋体"/>
          <w:b/>
          <w:sz w:val="24"/>
        </w:rPr>
        <w:t>供应商提交投标文件须知：</w:t>
      </w:r>
    </w:p>
    <w:p>
      <w:pPr>
        <w:spacing w:line="360" w:lineRule="auto"/>
        <w:ind w:firstLine="480" w:firstLineChars="200"/>
        <w:rPr>
          <w:rFonts w:hint="eastAsia" w:ascii="宋体" w:hAnsi="宋体" w:cs="宋体"/>
          <w:sz w:val="24"/>
        </w:rPr>
      </w:pPr>
      <w:r>
        <w:rPr>
          <w:rFonts w:hint="eastAsia" w:ascii="宋体" w:hAnsi="宋体" w:cs="宋体"/>
          <w:sz w:val="24"/>
        </w:rPr>
        <w:t>1、建议供应商按照投标文件编制组成以及针对各评分项内容进行编制，混乱的编排导致投标文件被误读或评标委员会查找不到有效文件是供应商的风险。</w:t>
      </w:r>
    </w:p>
    <w:p>
      <w:pPr>
        <w:spacing w:line="360" w:lineRule="auto"/>
        <w:ind w:firstLine="480" w:firstLineChars="200"/>
        <w:rPr>
          <w:rFonts w:hint="eastAsia" w:ascii="宋体" w:hAnsi="宋体" w:cs="宋体"/>
          <w:sz w:val="24"/>
        </w:rPr>
      </w:pPr>
      <w:r>
        <w:rPr>
          <w:rFonts w:hint="eastAsia" w:ascii="宋体" w:hAnsi="宋体" w:cs="宋体"/>
          <w:sz w:val="24"/>
        </w:rPr>
        <w:t>2、投标文件所提供内容信息都应真实有效。</w:t>
      </w:r>
    </w:p>
    <w:p>
      <w:pPr>
        <w:spacing w:line="360" w:lineRule="auto"/>
        <w:ind w:firstLine="480" w:firstLineChars="200"/>
        <w:rPr>
          <w:rFonts w:hint="eastAsia" w:ascii="宋体" w:hAnsi="宋体" w:cs="宋体"/>
          <w:sz w:val="24"/>
        </w:rPr>
      </w:pPr>
      <w:r>
        <w:rPr>
          <w:rFonts w:hint="eastAsia" w:ascii="宋体" w:hAnsi="宋体" w:cs="宋体"/>
          <w:sz w:val="24"/>
        </w:rPr>
        <w:t>3、声明书的签字人应保证全部声明和问题的回答是真实的和准确的。</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pStyle w:val="59"/>
        <w:ind w:firstLine="480"/>
        <w:rPr>
          <w:rFonts w:hint="eastAsia" w:cs="宋体"/>
          <w:sz w:val="24"/>
        </w:rPr>
      </w:pPr>
    </w:p>
    <w:p>
      <w:pPr>
        <w:pStyle w:val="59"/>
        <w:ind w:firstLine="480"/>
        <w:rPr>
          <w:rFonts w:hint="eastAsia" w:cs="宋体"/>
          <w:sz w:val="24"/>
        </w:rPr>
      </w:pPr>
    </w:p>
    <w:p>
      <w:pPr>
        <w:pStyle w:val="59"/>
        <w:ind w:firstLine="480"/>
        <w:rPr>
          <w:rFonts w:hint="eastAsia" w:cs="宋体"/>
          <w:sz w:val="24"/>
        </w:rPr>
      </w:pPr>
    </w:p>
    <w:p>
      <w:pPr>
        <w:pStyle w:val="59"/>
        <w:ind w:firstLine="480"/>
        <w:rPr>
          <w:rFonts w:hint="eastAsia" w:cs="宋体"/>
          <w:sz w:val="24"/>
        </w:rPr>
      </w:pPr>
    </w:p>
    <w:p>
      <w:pPr>
        <w:pStyle w:val="59"/>
        <w:ind w:firstLine="480"/>
        <w:rPr>
          <w:rFonts w:hint="eastAsia" w:cs="宋体"/>
          <w:sz w:val="24"/>
        </w:rPr>
      </w:pPr>
    </w:p>
    <w:p>
      <w:pPr>
        <w:pStyle w:val="59"/>
        <w:ind w:firstLine="480"/>
        <w:rPr>
          <w:rFonts w:hint="eastAsia"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autoSpaceDE w:val="0"/>
        <w:autoSpaceDN w:val="0"/>
        <w:jc w:val="center"/>
        <w:rPr>
          <w:rFonts w:hint="eastAsia" w:ascii="宋体" w:hAnsi="宋体" w:cs="宋体"/>
          <w:sz w:val="72"/>
          <w:szCs w:val="72"/>
          <w:lang w:val="zh-CN"/>
        </w:rPr>
      </w:pPr>
      <w:r>
        <w:rPr>
          <w:rFonts w:hint="eastAsia" w:ascii="宋体" w:hAnsi="宋体" w:cs="宋体"/>
          <w:sz w:val="72"/>
          <w:szCs w:val="72"/>
          <w:lang w:val="zh-CN"/>
        </w:rPr>
        <w:t>投标文件</w:t>
      </w:r>
    </w:p>
    <w:p>
      <w:pPr>
        <w:autoSpaceDE w:val="0"/>
        <w:autoSpaceDN w:val="0"/>
        <w:jc w:val="center"/>
        <w:rPr>
          <w:rFonts w:hint="eastAsia" w:ascii="宋体" w:hAnsi="宋体" w:cs="宋体"/>
          <w:sz w:val="28"/>
          <w:szCs w:val="28"/>
          <w:lang w:val="zh-CN"/>
        </w:rPr>
      </w:pPr>
      <w:r>
        <w:rPr>
          <w:rFonts w:hint="eastAsia" w:ascii="宋体" w:hAnsi="宋体" w:cs="宋体"/>
          <w:sz w:val="28"/>
          <w:szCs w:val="28"/>
          <w:lang w:val="zh-CN"/>
        </w:rPr>
        <w:t>（</w:t>
      </w:r>
      <w:r>
        <w:rPr>
          <w:rFonts w:hint="eastAsia" w:ascii="宋体" w:hAnsi="宋体" w:cs="宋体"/>
          <w:sz w:val="28"/>
          <w:szCs w:val="28"/>
          <w:u w:val="single"/>
        </w:rPr>
        <w:t xml:space="preserve">             </w:t>
      </w:r>
      <w:r>
        <w:rPr>
          <w:rFonts w:hint="eastAsia" w:ascii="宋体" w:hAnsi="宋体" w:cs="宋体"/>
          <w:sz w:val="28"/>
          <w:szCs w:val="28"/>
          <w:lang w:val="zh-CN"/>
        </w:rPr>
        <w:t>文件）</w:t>
      </w:r>
    </w:p>
    <w:p>
      <w:pPr>
        <w:autoSpaceDE w:val="0"/>
        <w:autoSpaceDN w:val="0"/>
        <w:rPr>
          <w:rFonts w:hint="eastAsia" w:ascii="宋体" w:hAnsi="宋体" w:cs="宋体"/>
          <w:sz w:val="18"/>
          <w:szCs w:val="18"/>
          <w:lang w:val="zh-CN"/>
        </w:rPr>
      </w:pPr>
    </w:p>
    <w:p>
      <w:pPr>
        <w:autoSpaceDE w:val="0"/>
        <w:autoSpaceDN w:val="0"/>
        <w:rPr>
          <w:rFonts w:hint="eastAsia" w:ascii="宋体" w:hAnsi="宋体" w:cs="宋体"/>
          <w:sz w:val="28"/>
          <w:szCs w:val="28"/>
          <w:lang w:val="zh-CN"/>
        </w:rPr>
      </w:pPr>
    </w:p>
    <w:p>
      <w:pPr>
        <w:autoSpaceDE w:val="0"/>
        <w:autoSpaceDN w:val="0"/>
        <w:rPr>
          <w:rFonts w:hint="eastAsia" w:ascii="宋体" w:hAnsi="宋体" w:cs="宋体"/>
          <w:sz w:val="28"/>
          <w:szCs w:val="28"/>
          <w:lang w:val="zh-CN"/>
        </w:rPr>
      </w:pPr>
    </w:p>
    <w:p>
      <w:pPr>
        <w:autoSpaceDE w:val="0"/>
        <w:autoSpaceDN w:val="0"/>
        <w:rPr>
          <w:rFonts w:hint="eastAsia" w:ascii="宋体" w:hAnsi="宋体" w:cs="宋体"/>
          <w:sz w:val="28"/>
          <w:szCs w:val="28"/>
          <w:lang w:val="zh-CN"/>
        </w:rPr>
      </w:pPr>
    </w:p>
    <w:p>
      <w:pPr>
        <w:autoSpaceDE w:val="0"/>
        <w:autoSpaceDN w:val="0"/>
        <w:rPr>
          <w:rFonts w:hint="eastAsia" w:ascii="宋体" w:hAnsi="宋体" w:cs="宋体"/>
          <w:sz w:val="28"/>
          <w:szCs w:val="28"/>
          <w:lang w:val="zh-CN"/>
        </w:rPr>
      </w:pPr>
    </w:p>
    <w:p>
      <w:pPr>
        <w:autoSpaceDE w:val="0"/>
        <w:autoSpaceDN w:val="0"/>
        <w:rPr>
          <w:rFonts w:hint="eastAsia" w:ascii="宋体" w:hAnsi="宋体" w:cs="宋体"/>
          <w:sz w:val="28"/>
          <w:szCs w:val="28"/>
          <w:lang w:val="zh-CN"/>
        </w:rPr>
      </w:pPr>
    </w:p>
    <w:p>
      <w:pPr>
        <w:autoSpaceDE w:val="0"/>
        <w:autoSpaceDN w:val="0"/>
        <w:ind w:firstLine="560" w:firstLineChars="200"/>
        <w:rPr>
          <w:rFonts w:hint="eastAsia" w:ascii="宋体" w:hAnsi="宋体" w:cs="宋体"/>
          <w:sz w:val="28"/>
          <w:szCs w:val="28"/>
          <w:u w:val="single"/>
          <w:lang w:val="zh-CN"/>
        </w:rPr>
      </w:pPr>
      <w:r>
        <w:rPr>
          <w:rFonts w:hint="eastAsia" w:ascii="宋体" w:hAnsi="宋体" w:cs="宋体"/>
          <w:sz w:val="28"/>
          <w:szCs w:val="28"/>
          <w:lang w:val="zh-CN"/>
        </w:rPr>
        <w:t>项目编号：</w:t>
      </w:r>
    </w:p>
    <w:p>
      <w:pPr>
        <w:autoSpaceDE w:val="0"/>
        <w:autoSpaceDN w:val="0"/>
        <w:ind w:firstLine="560" w:firstLineChars="200"/>
        <w:rPr>
          <w:rFonts w:hint="eastAsia" w:ascii="宋体" w:hAnsi="宋体" w:cs="宋体"/>
          <w:sz w:val="28"/>
          <w:szCs w:val="28"/>
          <w:lang w:val="zh-CN"/>
        </w:rPr>
      </w:pPr>
    </w:p>
    <w:p>
      <w:pPr>
        <w:autoSpaceDE w:val="0"/>
        <w:autoSpaceDN w:val="0"/>
        <w:ind w:firstLine="560" w:firstLineChars="200"/>
        <w:rPr>
          <w:rFonts w:hint="eastAsia" w:ascii="宋体" w:hAnsi="宋体" w:cs="宋体"/>
          <w:sz w:val="28"/>
          <w:szCs w:val="28"/>
          <w:lang w:val="zh-CN"/>
        </w:rPr>
      </w:pPr>
    </w:p>
    <w:p>
      <w:pPr>
        <w:autoSpaceDE w:val="0"/>
        <w:autoSpaceDN w:val="0"/>
        <w:ind w:firstLine="538"/>
        <w:rPr>
          <w:rFonts w:hint="eastAsia" w:ascii="宋体" w:hAnsi="宋体" w:cs="宋体"/>
          <w:sz w:val="28"/>
          <w:szCs w:val="28"/>
          <w:lang w:val="zh-CN"/>
        </w:rPr>
      </w:pPr>
      <w:r>
        <w:rPr>
          <w:rFonts w:hint="eastAsia" w:ascii="宋体" w:hAnsi="宋体" w:cs="宋体"/>
          <w:sz w:val="28"/>
          <w:szCs w:val="28"/>
          <w:lang w:val="zh-CN"/>
        </w:rPr>
        <w:t>项目名称：</w:t>
      </w:r>
    </w:p>
    <w:p>
      <w:pPr>
        <w:autoSpaceDE w:val="0"/>
        <w:autoSpaceDN w:val="0"/>
        <w:ind w:firstLine="538"/>
        <w:rPr>
          <w:rFonts w:hint="eastAsia" w:ascii="宋体" w:hAnsi="宋体" w:cs="宋体"/>
          <w:sz w:val="28"/>
          <w:szCs w:val="28"/>
          <w:lang w:val="zh-CN"/>
        </w:rPr>
      </w:pPr>
    </w:p>
    <w:p>
      <w:pPr>
        <w:autoSpaceDE w:val="0"/>
        <w:autoSpaceDN w:val="0"/>
        <w:ind w:firstLine="538"/>
        <w:rPr>
          <w:rFonts w:hint="eastAsia" w:ascii="宋体" w:hAnsi="宋体" w:cs="宋体"/>
          <w:sz w:val="28"/>
          <w:szCs w:val="28"/>
          <w:lang w:val="zh-CN"/>
        </w:rPr>
      </w:pPr>
    </w:p>
    <w:p>
      <w:pPr>
        <w:autoSpaceDE w:val="0"/>
        <w:autoSpaceDN w:val="0"/>
        <w:ind w:firstLine="538"/>
        <w:rPr>
          <w:rFonts w:hint="eastAsia" w:ascii="宋体" w:hAnsi="宋体" w:cs="宋体"/>
          <w:sz w:val="28"/>
          <w:szCs w:val="28"/>
        </w:rPr>
      </w:pPr>
      <w:r>
        <w:rPr>
          <w:rFonts w:hint="eastAsia" w:ascii="宋体" w:hAnsi="宋体" w:cs="宋体"/>
          <w:sz w:val="28"/>
          <w:szCs w:val="28"/>
        </w:rPr>
        <w:t>标项：</w:t>
      </w:r>
    </w:p>
    <w:p>
      <w:pPr>
        <w:autoSpaceDE w:val="0"/>
        <w:autoSpaceDN w:val="0"/>
        <w:rPr>
          <w:rFonts w:hint="eastAsia" w:ascii="宋体" w:hAnsi="宋体" w:cs="宋体"/>
          <w:sz w:val="28"/>
          <w:szCs w:val="28"/>
          <w:lang w:val="zh-CN"/>
        </w:rPr>
      </w:pPr>
    </w:p>
    <w:p>
      <w:pPr>
        <w:autoSpaceDE w:val="0"/>
        <w:autoSpaceDN w:val="0"/>
        <w:ind w:firstLine="538"/>
        <w:rPr>
          <w:rFonts w:hint="eastAsia" w:ascii="宋体" w:hAnsi="宋体" w:cs="宋体"/>
          <w:sz w:val="28"/>
          <w:szCs w:val="28"/>
          <w:u w:val="single"/>
          <w:lang w:val="zh-CN"/>
        </w:rPr>
      </w:pPr>
      <w:r>
        <w:rPr>
          <w:rFonts w:hint="eastAsia" w:ascii="宋体" w:hAnsi="宋体" w:cs="宋体"/>
          <w:sz w:val="28"/>
          <w:szCs w:val="28"/>
          <w:lang w:val="zh-CN"/>
        </w:rPr>
        <w:t>供应商名称：</w:t>
      </w:r>
      <w:r>
        <w:rPr>
          <w:rFonts w:hint="eastAsia" w:ascii="宋体" w:hAnsi="宋体" w:cs="宋体"/>
          <w:sz w:val="28"/>
          <w:szCs w:val="28"/>
          <w:u w:val="single"/>
          <w:lang w:val="zh-CN"/>
        </w:rPr>
        <w:t xml:space="preserve">                                    （盖公章）</w:t>
      </w:r>
    </w:p>
    <w:p>
      <w:pPr>
        <w:autoSpaceDE w:val="0"/>
        <w:autoSpaceDN w:val="0"/>
        <w:rPr>
          <w:rFonts w:hint="eastAsia" w:ascii="宋体" w:hAnsi="宋体" w:cs="宋体"/>
          <w:sz w:val="28"/>
          <w:szCs w:val="28"/>
          <w:u w:val="single"/>
          <w:lang w:val="zh-CN"/>
        </w:rPr>
      </w:pPr>
    </w:p>
    <w:p>
      <w:pPr>
        <w:autoSpaceDE w:val="0"/>
        <w:autoSpaceDN w:val="0"/>
        <w:ind w:firstLine="538"/>
        <w:rPr>
          <w:rFonts w:hint="eastAsia" w:ascii="宋体" w:hAnsi="宋体" w:cs="宋体"/>
          <w:sz w:val="28"/>
          <w:szCs w:val="28"/>
          <w:u w:val="single"/>
          <w:lang w:val="zh-CN"/>
        </w:rPr>
      </w:pPr>
    </w:p>
    <w:p>
      <w:pPr>
        <w:autoSpaceDE w:val="0"/>
        <w:autoSpaceDN w:val="0"/>
        <w:ind w:firstLine="538"/>
        <w:rPr>
          <w:rFonts w:hint="eastAsia" w:ascii="宋体" w:hAnsi="宋体" w:cs="宋体"/>
          <w:sz w:val="28"/>
          <w:szCs w:val="28"/>
          <w:u w:val="single"/>
          <w:lang w:val="zh-CN"/>
        </w:rPr>
      </w:pPr>
    </w:p>
    <w:p>
      <w:pPr>
        <w:autoSpaceDE w:val="0"/>
        <w:autoSpaceDN w:val="0"/>
        <w:ind w:firstLine="538"/>
        <w:rPr>
          <w:rFonts w:hint="eastAsia" w:ascii="宋体" w:hAnsi="宋体" w:cs="宋体"/>
          <w:sz w:val="28"/>
          <w:szCs w:val="28"/>
          <w:u w:val="single"/>
          <w:lang w:val="zh-CN"/>
        </w:rPr>
      </w:pPr>
    </w:p>
    <w:p>
      <w:pPr>
        <w:autoSpaceDE w:val="0"/>
        <w:autoSpaceDN w:val="0"/>
        <w:ind w:firstLine="538"/>
        <w:rPr>
          <w:rFonts w:hint="eastAsia" w:ascii="宋体" w:hAnsi="宋体" w:cs="宋体"/>
          <w:sz w:val="28"/>
          <w:szCs w:val="28"/>
          <w:u w:val="single"/>
          <w:lang w:val="zh-CN"/>
        </w:rPr>
      </w:pPr>
      <w:r>
        <w:rPr>
          <w:rFonts w:hint="eastAsia" w:ascii="宋体" w:hAnsi="宋体" w:cs="宋体"/>
          <w:sz w:val="28"/>
          <w:szCs w:val="28"/>
          <w:lang w:val="zh-CN"/>
        </w:rPr>
        <w:t>法定代表人</w:t>
      </w:r>
    </w:p>
    <w:p>
      <w:pPr>
        <w:autoSpaceDE w:val="0"/>
        <w:autoSpaceDN w:val="0"/>
        <w:ind w:firstLine="538"/>
        <w:rPr>
          <w:rFonts w:hint="eastAsia" w:ascii="宋体" w:hAnsi="宋体" w:cs="宋体"/>
          <w:sz w:val="28"/>
          <w:szCs w:val="28"/>
          <w:u w:val="single"/>
          <w:lang w:val="zh-CN"/>
        </w:rPr>
      </w:pPr>
      <w:r>
        <w:rPr>
          <w:rFonts w:hint="eastAsia" w:ascii="宋体" w:hAnsi="宋体" w:cs="宋体"/>
          <w:sz w:val="28"/>
          <w:szCs w:val="28"/>
          <w:lang w:val="zh-CN"/>
        </w:rPr>
        <w:t>或委托代理人：</w:t>
      </w:r>
      <w:r>
        <w:rPr>
          <w:rFonts w:hint="eastAsia" w:ascii="宋体" w:hAnsi="宋体" w:cs="宋体"/>
          <w:sz w:val="28"/>
          <w:szCs w:val="28"/>
          <w:u w:val="single"/>
          <w:lang w:val="zh-CN"/>
        </w:rPr>
        <w:t xml:space="preserve">                            （签字或盖章）</w:t>
      </w:r>
    </w:p>
    <w:p>
      <w:pPr>
        <w:autoSpaceDE w:val="0"/>
        <w:autoSpaceDN w:val="0"/>
        <w:ind w:firstLine="538"/>
        <w:rPr>
          <w:rFonts w:hint="eastAsia" w:ascii="宋体" w:hAnsi="宋体" w:cs="宋体"/>
          <w:sz w:val="28"/>
          <w:szCs w:val="28"/>
          <w:u w:val="single"/>
          <w:lang w:val="zh-CN"/>
        </w:rPr>
      </w:pPr>
    </w:p>
    <w:p>
      <w:pPr>
        <w:autoSpaceDE w:val="0"/>
        <w:autoSpaceDN w:val="0"/>
        <w:rPr>
          <w:rFonts w:hint="eastAsia" w:ascii="宋体" w:hAnsi="宋体" w:cs="宋体"/>
          <w:sz w:val="28"/>
          <w:szCs w:val="28"/>
          <w:u w:val="single"/>
          <w:lang w:val="zh-CN"/>
        </w:rPr>
      </w:pPr>
    </w:p>
    <w:p>
      <w:pPr>
        <w:autoSpaceDE w:val="0"/>
        <w:autoSpaceDN w:val="0"/>
        <w:rPr>
          <w:rFonts w:hint="eastAsia" w:ascii="宋体" w:hAnsi="宋体" w:cs="宋体"/>
          <w:sz w:val="28"/>
          <w:szCs w:val="28"/>
          <w:u w:val="single"/>
          <w:lang w:val="zh-CN"/>
        </w:rPr>
      </w:pPr>
    </w:p>
    <w:p>
      <w:pPr>
        <w:autoSpaceDE w:val="0"/>
        <w:autoSpaceDN w:val="0"/>
        <w:rPr>
          <w:rFonts w:hint="eastAsia" w:ascii="宋体" w:hAnsi="宋体" w:cs="宋体"/>
          <w:sz w:val="28"/>
          <w:szCs w:val="28"/>
          <w:u w:val="single"/>
          <w:lang w:val="zh-CN"/>
        </w:rPr>
      </w:pPr>
    </w:p>
    <w:p>
      <w:pPr>
        <w:autoSpaceDE w:val="0"/>
        <w:autoSpaceDN w:val="0"/>
        <w:rPr>
          <w:rFonts w:hint="eastAsia" w:ascii="宋体" w:hAnsi="宋体" w:cs="宋体"/>
          <w:sz w:val="28"/>
          <w:szCs w:val="28"/>
          <w:u w:val="single"/>
          <w:lang w:val="zh-CN"/>
        </w:rPr>
      </w:pPr>
    </w:p>
    <w:p>
      <w:pPr>
        <w:autoSpaceDE w:val="0"/>
        <w:autoSpaceDN w:val="0"/>
        <w:ind w:firstLine="560"/>
        <w:rPr>
          <w:rFonts w:hint="eastAsia" w:ascii="宋体" w:hAnsi="宋体" w:cs="宋体"/>
          <w:sz w:val="28"/>
          <w:szCs w:val="28"/>
          <w:lang w:val="zh-CN"/>
        </w:rPr>
      </w:pPr>
      <w:r>
        <w:rPr>
          <w:rFonts w:hint="eastAsia" w:ascii="宋体" w:hAnsi="宋体" w:cs="宋体"/>
          <w:sz w:val="28"/>
          <w:szCs w:val="28"/>
          <w:lang w:val="zh-CN"/>
        </w:rPr>
        <w:t>日期：</w:t>
      </w:r>
      <w:r>
        <w:rPr>
          <w:rFonts w:hint="eastAsia" w:ascii="宋体" w:hAnsi="宋体" w:cs="宋体"/>
          <w:sz w:val="28"/>
          <w:szCs w:val="28"/>
        </w:rPr>
        <w:t xml:space="preserve">  </w:t>
      </w:r>
      <w:r>
        <w:rPr>
          <w:rFonts w:hint="eastAsia" w:ascii="宋体" w:hAnsi="宋体" w:cs="宋体"/>
          <w:sz w:val="28"/>
          <w:szCs w:val="28"/>
          <w:lang w:val="zh-CN"/>
        </w:rPr>
        <w:t>年</w:t>
      </w:r>
      <w:r>
        <w:rPr>
          <w:rFonts w:hint="eastAsia" w:ascii="宋体" w:hAnsi="宋体" w:cs="宋体"/>
          <w:sz w:val="28"/>
          <w:szCs w:val="28"/>
        </w:rPr>
        <w:t xml:space="preserve">  </w:t>
      </w:r>
      <w:r>
        <w:rPr>
          <w:rFonts w:hint="eastAsia" w:ascii="宋体" w:hAnsi="宋体" w:cs="宋体"/>
          <w:sz w:val="28"/>
          <w:szCs w:val="28"/>
          <w:lang w:val="zh-CN"/>
        </w:rPr>
        <w:t>月</w:t>
      </w:r>
      <w:r>
        <w:rPr>
          <w:rFonts w:hint="eastAsia" w:ascii="宋体" w:hAnsi="宋体" w:cs="宋体"/>
          <w:sz w:val="28"/>
          <w:szCs w:val="28"/>
        </w:rPr>
        <w:t xml:space="preserve">  </w:t>
      </w:r>
      <w:r>
        <w:rPr>
          <w:rFonts w:hint="eastAsia" w:ascii="宋体" w:hAnsi="宋体" w:cs="宋体"/>
          <w:sz w:val="28"/>
          <w:szCs w:val="28"/>
          <w:lang w:val="zh-CN"/>
        </w:rPr>
        <w:t>日</w:t>
      </w:r>
    </w:p>
    <w:p>
      <w:pPr>
        <w:autoSpaceDE w:val="0"/>
        <w:autoSpaceDN w:val="0"/>
        <w:ind w:firstLine="560"/>
        <w:rPr>
          <w:rFonts w:hint="eastAsia" w:ascii="宋体" w:hAnsi="宋体" w:cs="宋体"/>
          <w:sz w:val="28"/>
          <w:szCs w:val="28"/>
          <w:lang w:val="zh-CN"/>
        </w:rPr>
      </w:pPr>
    </w:p>
    <w:p>
      <w:pPr>
        <w:autoSpaceDE w:val="0"/>
        <w:autoSpaceDN w:val="0"/>
        <w:ind w:firstLine="560"/>
        <w:rPr>
          <w:rFonts w:hint="eastAsia" w:ascii="宋体" w:hAnsi="宋体" w:cs="宋体"/>
          <w:sz w:val="28"/>
          <w:szCs w:val="28"/>
          <w:lang w:val="zh-CN"/>
        </w:rPr>
      </w:pPr>
    </w:p>
    <w:p>
      <w:pPr>
        <w:autoSpaceDE w:val="0"/>
        <w:autoSpaceDN w:val="0"/>
        <w:ind w:firstLine="560"/>
        <w:rPr>
          <w:rFonts w:hint="eastAsia" w:ascii="宋体" w:hAnsi="宋体" w:cs="宋体"/>
          <w:sz w:val="28"/>
          <w:szCs w:val="28"/>
          <w:lang w:val="zh-CN"/>
        </w:rPr>
      </w:pPr>
    </w:p>
    <w:p>
      <w:pPr>
        <w:autoSpaceDE w:val="0"/>
        <w:autoSpaceDN w:val="0"/>
        <w:ind w:firstLine="560"/>
        <w:rPr>
          <w:rFonts w:hint="eastAsia" w:ascii="宋体" w:hAnsi="宋体" w:cs="宋体"/>
          <w:sz w:val="28"/>
          <w:szCs w:val="28"/>
          <w:lang w:val="zh-CN"/>
        </w:rPr>
      </w:pPr>
    </w:p>
    <w:p>
      <w:pPr>
        <w:autoSpaceDE w:val="0"/>
        <w:autoSpaceDN w:val="0"/>
        <w:ind w:firstLine="560"/>
        <w:rPr>
          <w:rFonts w:hint="eastAsia" w:ascii="宋体" w:hAnsi="宋体" w:cs="宋体"/>
          <w:sz w:val="28"/>
          <w:szCs w:val="28"/>
          <w:lang w:val="zh-CN"/>
        </w:rPr>
      </w:pPr>
    </w:p>
    <w:p>
      <w:pPr>
        <w:autoSpaceDE w:val="0"/>
        <w:autoSpaceDN w:val="0"/>
        <w:ind w:firstLine="560"/>
        <w:rPr>
          <w:rFonts w:hint="eastAsia" w:ascii="宋体" w:hAnsi="宋体" w:cs="宋体"/>
          <w:sz w:val="28"/>
          <w:szCs w:val="28"/>
          <w:lang w:val="zh-CN"/>
        </w:rPr>
      </w:pPr>
    </w:p>
    <w:p>
      <w:pPr>
        <w:autoSpaceDE w:val="0"/>
        <w:autoSpaceDN w:val="0"/>
        <w:ind w:firstLine="560"/>
        <w:rPr>
          <w:rFonts w:hint="eastAsia" w:ascii="宋体" w:hAnsi="宋体" w:cs="宋体"/>
          <w:sz w:val="28"/>
          <w:szCs w:val="28"/>
          <w:lang w:val="zh-CN"/>
        </w:rPr>
      </w:pPr>
    </w:p>
    <w:p>
      <w:pPr>
        <w:autoSpaceDE w:val="0"/>
        <w:autoSpaceDN w:val="0"/>
        <w:ind w:firstLine="560"/>
        <w:rPr>
          <w:rFonts w:hint="eastAsia" w:ascii="宋体" w:hAnsi="宋体" w:cs="宋体"/>
          <w:sz w:val="28"/>
          <w:szCs w:val="28"/>
          <w:lang w:val="zh-CN"/>
        </w:rPr>
      </w:pPr>
    </w:p>
    <w:p>
      <w:pPr>
        <w:adjustRightInd/>
        <w:snapToGrid w:val="0"/>
        <w:spacing w:line="360" w:lineRule="auto"/>
        <w:ind w:right="480"/>
        <w:jc w:val="center"/>
        <w:rPr>
          <w:rFonts w:hint="eastAsia" w:ascii="宋体" w:hAnsi="宋体" w:cs="宋体"/>
          <w:b/>
          <w:kern w:val="0"/>
          <w:sz w:val="24"/>
        </w:rPr>
      </w:pPr>
      <w:r>
        <w:rPr>
          <w:rFonts w:hint="eastAsia" w:ascii="宋体" w:hAnsi="宋体" w:cs="宋体"/>
          <w:b/>
          <w:kern w:val="0"/>
          <w:sz w:val="24"/>
        </w:rPr>
        <w:t>依法缴纳税收和社会保障金的承诺函</w:t>
      </w:r>
    </w:p>
    <w:p>
      <w:pPr>
        <w:pStyle w:val="635"/>
        <w:rPr>
          <w:rFonts w:hint="eastAsia"/>
        </w:rPr>
      </w:pPr>
    </w:p>
    <w:p>
      <w:pPr>
        <w:snapToGrid w:val="0"/>
        <w:spacing w:line="360" w:lineRule="auto"/>
        <w:rPr>
          <w:rFonts w:ascii="宋体" w:hAnsi="宋体" w:cs="宋体"/>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p>
    <w:p>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我公司郑重声明，我公司严格依法缴纳税收和社会保障金，本文件中所提供的相关材料均真实有效，不存在虚假、造假行为。如有违反，愿承担一切责任。</w:t>
      </w:r>
    </w:p>
    <w:p>
      <w:pPr>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特此声明</w:t>
      </w:r>
    </w:p>
    <w:p>
      <w:pPr>
        <w:snapToGrid w:val="0"/>
        <w:spacing w:line="360" w:lineRule="auto"/>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autoSpaceDE w:val="0"/>
        <w:autoSpaceDN w:val="0"/>
        <w:ind w:firstLine="560"/>
        <w:rPr>
          <w:rFonts w:hint="eastAsia" w:ascii="宋体" w:hAnsi="宋体" w:cs="宋体"/>
          <w:sz w:val="28"/>
          <w:szCs w:val="28"/>
          <w:lang w:val="zh-CN"/>
        </w:rPr>
      </w:pPr>
    </w:p>
    <w:p>
      <w:pPr>
        <w:autoSpaceDE w:val="0"/>
        <w:autoSpaceDN w:val="0"/>
        <w:ind w:firstLine="560"/>
        <w:rPr>
          <w:rFonts w:hint="eastAsia" w:ascii="宋体" w:hAnsi="宋体" w:cs="宋体"/>
          <w:sz w:val="28"/>
          <w:szCs w:val="28"/>
          <w:lang w:val="zh-CN"/>
        </w:rPr>
      </w:pPr>
    </w:p>
    <w:p>
      <w:pPr>
        <w:pStyle w:val="31"/>
        <w:rPr>
          <w:rFonts w:hint="eastAsia" w:hAnsi="宋体" w:cs="宋体"/>
          <w:sz w:val="28"/>
          <w:szCs w:val="28"/>
        </w:rPr>
      </w:pPr>
    </w:p>
    <w:p>
      <w:pPr>
        <w:adjustRightInd/>
        <w:snapToGrid w:val="0"/>
        <w:spacing w:line="360" w:lineRule="auto"/>
        <w:ind w:right="480"/>
        <w:rPr>
          <w:rFonts w:hint="eastAsia" w:ascii="宋体" w:hAnsi="宋体" w:cs="宋体"/>
          <w:sz w:val="24"/>
        </w:rPr>
      </w:pPr>
    </w:p>
    <w:p>
      <w:pPr>
        <w:adjustRightInd/>
        <w:snapToGrid w:val="0"/>
        <w:spacing w:line="360" w:lineRule="auto"/>
        <w:ind w:right="480"/>
        <w:jc w:val="center"/>
        <w:rPr>
          <w:rFonts w:hint="eastAsia"/>
        </w:rPr>
      </w:pPr>
      <w:r>
        <w:rPr>
          <w:rFonts w:hint="eastAsia" w:ascii="宋体" w:hAnsi="宋体" w:cs="宋体"/>
          <w:b/>
          <w:kern w:val="0"/>
          <w:sz w:val="24"/>
        </w:rPr>
        <w:t>具有履行合同所必需的设备和专业技术能力的承诺函</w:t>
      </w:r>
    </w:p>
    <w:p>
      <w:pPr>
        <w:snapToGrid w:val="0"/>
        <w:spacing w:line="360" w:lineRule="auto"/>
        <w:rPr>
          <w:rFonts w:ascii="宋体" w:hAnsi="宋体" w:cs="宋体"/>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p>
    <w:p>
      <w:pPr>
        <w:snapToGrid w:val="0"/>
        <w:spacing w:line="360" w:lineRule="auto"/>
        <w:ind w:firstLine="480" w:firstLineChars="200"/>
        <w:rPr>
          <w:rFonts w:hint="eastAsia" w:ascii="宋体" w:hAnsi="宋体" w:cs="宋体"/>
          <w:sz w:val="24"/>
        </w:rPr>
      </w:pPr>
      <w:r>
        <w:rPr>
          <w:rFonts w:hint="eastAsia" w:ascii="宋体" w:hAnsi="宋体" w:cs="宋体"/>
          <w:sz w:val="24"/>
        </w:rPr>
        <w:t>我方郑重承诺，我方具有履行</w:t>
      </w:r>
      <w:r>
        <w:rPr>
          <w:rFonts w:hint="eastAsia" w:ascii="宋体" w:hAnsi="宋体" w:cs="宋体"/>
          <w:sz w:val="24"/>
          <w:lang w:eastAsia="zh-CN"/>
        </w:rPr>
        <w:t>湖州市埭溪镇上强中学音体美提升工程</w:t>
      </w:r>
      <w:r>
        <w:rPr>
          <w:rFonts w:hint="eastAsia" w:ascii="宋体" w:hAnsi="宋体" w:cs="宋体"/>
          <w:sz w:val="24"/>
        </w:rPr>
        <w:t>（招标编号：</w:t>
      </w:r>
      <w:r>
        <w:rPr>
          <w:rFonts w:hint="eastAsia" w:ascii="宋体" w:hAnsi="宋体" w:cs="宋体"/>
          <w:sz w:val="24"/>
          <w:u w:val="thick"/>
        </w:rPr>
        <w:t xml:space="preserve">           </w:t>
      </w:r>
      <w:r>
        <w:rPr>
          <w:rFonts w:hint="eastAsia" w:ascii="宋体" w:hAnsi="宋体" w:cs="宋体"/>
          <w:sz w:val="24"/>
        </w:rPr>
        <w:t>）合同所必需的设备和专业技术能力。如中标，我方将保证合同顺利履行。</w:t>
      </w:r>
    </w:p>
    <w:p>
      <w:pPr>
        <w:snapToGrid w:val="0"/>
        <w:spacing w:line="360" w:lineRule="auto"/>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spacing w:line="360" w:lineRule="auto"/>
        <w:rPr>
          <w:rFonts w:hint="eastAsia" w:ascii="宋体" w:hAnsi="宋体" w:cs="宋体"/>
          <w:b/>
          <w:kern w:val="0"/>
          <w:sz w:val="24"/>
        </w:rPr>
      </w:pPr>
    </w:p>
    <w:p>
      <w:pPr>
        <w:spacing w:line="360" w:lineRule="auto"/>
        <w:jc w:val="center"/>
        <w:rPr>
          <w:rFonts w:hint="eastAsia" w:ascii="宋体" w:hAnsi="宋体" w:cs="宋体"/>
          <w:b/>
          <w:kern w:val="0"/>
          <w:sz w:val="24"/>
          <w:lang w:val="zh-CN"/>
        </w:rPr>
      </w:pPr>
      <w:r>
        <w:rPr>
          <w:rFonts w:hint="eastAsia" w:ascii="宋体" w:hAnsi="宋体" w:cs="宋体"/>
          <w:b/>
          <w:kern w:val="0"/>
          <w:sz w:val="24"/>
        </w:rPr>
        <w:t>参加政府采购活动前三年内，在经营活动中没有重大违法记录的声明</w:t>
      </w:r>
    </w:p>
    <w:p>
      <w:pPr>
        <w:snapToGrid w:val="0"/>
        <w:spacing w:line="360" w:lineRule="auto"/>
        <w:rPr>
          <w:rFonts w:hint="eastAsia" w:ascii="宋体" w:hAnsi="宋体" w:cs="宋体"/>
          <w:kern w:val="0"/>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r>
        <w:rPr>
          <w:rFonts w:hint="eastAsia" w:ascii="宋体" w:hAnsi="宋体" w:cs="宋体"/>
          <w:kern w:val="0"/>
          <w:sz w:val="24"/>
          <w:lang w:val="zh-CN"/>
        </w:rPr>
        <w:t>：</w:t>
      </w:r>
    </w:p>
    <w:p>
      <w:pPr>
        <w:spacing w:line="360" w:lineRule="auto"/>
        <w:ind w:firstLine="480" w:firstLineChars="200"/>
        <w:rPr>
          <w:rFonts w:hint="eastAsia" w:ascii="宋体" w:hAnsi="宋体" w:cs="宋体"/>
          <w:sz w:val="24"/>
        </w:rPr>
      </w:pPr>
      <w:r>
        <w:rPr>
          <w:rFonts w:hint="eastAsia" w:ascii="宋体" w:hAnsi="宋体" w:cs="宋体"/>
          <w:kern w:val="0"/>
          <w:sz w:val="24"/>
          <w:lang w:val="zh-CN"/>
        </w:rPr>
        <w:t>我公司</w:t>
      </w:r>
      <w:r>
        <w:rPr>
          <w:rFonts w:hint="eastAsia" w:ascii="宋体" w:hAnsi="宋体" w:cs="宋体"/>
          <w:sz w:val="24"/>
        </w:rPr>
        <w:t>声明截止投标时间近三年以来，在</w:t>
      </w:r>
      <w:r>
        <w:rPr>
          <w:rFonts w:hint="eastAsia" w:ascii="宋体" w:hAnsi="宋体" w:cs="宋体"/>
          <w:kern w:val="0"/>
          <w:sz w:val="24"/>
        </w:rPr>
        <w:t>经营活动中</w:t>
      </w:r>
      <w:r>
        <w:rPr>
          <w:rFonts w:hint="eastAsia" w:ascii="宋体" w:hAnsi="宋体" w:cs="宋体"/>
          <w:sz w:val="24"/>
        </w:rPr>
        <w:t xml:space="preserve">没有重大违法记录；也没有因违反《浙江省政府采购供应商注册及诚信管理暂行办法》被列入“黑名单”，正在处罚有效期”。 </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snapToGrid w:val="0"/>
        <w:jc w:val="center"/>
        <w:rPr>
          <w:rFonts w:hint="eastAsia" w:ascii="宋体" w:hAnsi="宋体" w:cs="宋体"/>
          <w:b/>
          <w:kern w:val="36"/>
          <w:sz w:val="24"/>
        </w:rPr>
      </w:pPr>
    </w:p>
    <w:p>
      <w:pPr>
        <w:snapToGrid w:val="0"/>
        <w:jc w:val="center"/>
        <w:rPr>
          <w:rFonts w:hint="eastAsia" w:ascii="宋体" w:hAnsi="宋体" w:cs="宋体"/>
          <w:b/>
          <w:kern w:val="0"/>
          <w:sz w:val="24"/>
        </w:rPr>
      </w:pPr>
      <w:r>
        <w:rPr>
          <w:rFonts w:hint="eastAsia" w:ascii="宋体" w:hAnsi="宋体" w:cs="宋体"/>
          <w:b/>
          <w:kern w:val="36"/>
          <w:sz w:val="24"/>
        </w:rPr>
        <w:t>供应商没有失信记录承诺函</w:t>
      </w:r>
    </w:p>
    <w:p>
      <w:pPr>
        <w:shd w:val="clear" w:color="auto" w:fill="FFFFFF"/>
        <w:snapToGrid w:val="0"/>
        <w:spacing w:line="360" w:lineRule="auto"/>
        <w:rPr>
          <w:rFonts w:hint="eastAsia" w:ascii="宋体" w:hAnsi="宋体" w:cs="宋体"/>
          <w:sz w:val="24"/>
          <w:u w:val="single"/>
        </w:rPr>
      </w:pPr>
    </w:p>
    <w:p>
      <w:pPr>
        <w:shd w:val="clear" w:color="auto" w:fill="FFFFFF"/>
        <w:snapToGrid w:val="0"/>
        <w:spacing w:line="360" w:lineRule="auto"/>
        <w:rPr>
          <w:rFonts w:hint="eastAsia" w:ascii="宋体" w:hAnsi="宋体" w:cs="宋体"/>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r>
        <w:rPr>
          <w:rFonts w:hint="eastAsia" w:ascii="宋体" w:hAnsi="宋体" w:cs="宋体"/>
          <w:kern w:val="0"/>
          <w:sz w:val="24"/>
        </w:rPr>
        <w:t>：</w:t>
      </w:r>
    </w:p>
    <w:p>
      <w:pPr>
        <w:spacing w:line="360" w:lineRule="auto"/>
        <w:ind w:firstLine="484" w:firstLineChars="202"/>
        <w:jc w:val="left"/>
        <w:rPr>
          <w:rFonts w:hint="eastAsia" w:ascii="宋体" w:hAnsi="宋体" w:cs="宋体"/>
          <w:kern w:val="0"/>
          <w:sz w:val="24"/>
        </w:rPr>
      </w:pPr>
      <w:r>
        <w:rPr>
          <w:rFonts w:hint="eastAsia" w:ascii="宋体" w:hAnsi="宋体" w:cs="宋体"/>
          <w:kern w:val="0"/>
          <w:sz w:val="24"/>
        </w:rPr>
        <w:t>我公司郑重承诺：到本项目投标截止时间为止，我公司未被</w:t>
      </w:r>
      <w:r>
        <w:rPr>
          <w:rFonts w:hint="eastAsia" w:ascii="宋体" w:hAnsi="宋体" w:cs="宋体"/>
          <w:color w:val="1D41D5"/>
          <w:kern w:val="0"/>
          <w:sz w:val="24"/>
        </w:rPr>
        <w:t>“信用中国”（www.creditchina.gov.cn）、中国政府采购网（www.ccgp.gov.cn）</w:t>
      </w:r>
      <w:r>
        <w:rPr>
          <w:rFonts w:hint="eastAsia" w:ascii="宋体" w:hAnsi="宋体" w:cs="宋体"/>
          <w:kern w:val="0"/>
          <w:sz w:val="24"/>
        </w:rPr>
        <w:t>列入失信被执行人名单、重大税收违法案件当事人名单、政府采购严重违法失信行为记录名单。如有隐瞒，愿承担一切责任。</w:t>
      </w:r>
    </w:p>
    <w:p>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特此承诺！</w:t>
      </w:r>
    </w:p>
    <w:p>
      <w:pPr>
        <w:snapToGrid w:val="0"/>
        <w:spacing w:line="360" w:lineRule="auto"/>
        <w:ind w:firstLine="3120" w:firstLineChars="1300"/>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snapToGrid w:val="0"/>
        <w:spacing w:line="360" w:lineRule="auto"/>
        <w:rPr>
          <w:rFonts w:hint="eastAsia" w:ascii="宋体" w:hAnsi="宋体" w:cs="宋体"/>
          <w:color w:val="FF0000"/>
          <w:kern w:val="0"/>
          <w:sz w:val="24"/>
        </w:rPr>
      </w:pPr>
      <w:r>
        <w:rPr>
          <w:rFonts w:hint="eastAsia" w:ascii="宋体" w:hAnsi="宋体" w:cs="宋体"/>
          <w:color w:val="FF0000"/>
          <w:kern w:val="0"/>
          <w:sz w:val="24"/>
        </w:rPr>
        <w:t>信用查询截图附后</w:t>
      </w:r>
    </w:p>
    <w:p>
      <w:pPr>
        <w:pStyle w:val="59"/>
        <w:ind w:left="0" w:leftChars="0" w:firstLine="0" w:firstLineChars="0"/>
        <w:rPr>
          <w:rFonts w:hint="eastAsia" w:ascii="宋体" w:hAnsi="宋体" w:eastAsia="宋体" w:cs="宋体"/>
          <w:color w:val="FF0000"/>
          <w:kern w:val="0"/>
          <w:sz w:val="24"/>
          <w:u w:val="thick"/>
          <w:lang w:eastAsia="zh-CN"/>
        </w:rPr>
      </w:pPr>
      <w:r>
        <w:rPr>
          <w:rFonts w:hint="eastAsia" w:ascii="宋体" w:hAnsi="宋体" w:eastAsia="宋体" w:cs="宋体"/>
          <w:color w:val="FF0000"/>
          <w:kern w:val="0"/>
          <w:sz w:val="24"/>
          <w:u w:val="thick"/>
          <w:lang w:eastAsia="zh-CN"/>
        </w:rPr>
        <w:drawing>
          <wp:inline distT="0" distB="0" distL="114300" distR="114300">
            <wp:extent cx="5250180" cy="4272280"/>
            <wp:effectExtent l="0" t="0" r="7620" b="13970"/>
            <wp:docPr id="21"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descr="1"/>
                    <pic:cNvPicPr>
                      <a:picLocks noChangeAspect="1"/>
                    </pic:cNvPicPr>
                  </pic:nvPicPr>
                  <pic:blipFill>
                    <a:blip r:embed="rId11"/>
                    <a:stretch>
                      <a:fillRect/>
                    </a:stretch>
                  </pic:blipFill>
                  <pic:spPr>
                    <a:xfrm>
                      <a:off x="0" y="0"/>
                      <a:ext cx="5250180" cy="4272280"/>
                    </a:xfrm>
                    <a:prstGeom prst="rect">
                      <a:avLst/>
                    </a:prstGeom>
                    <a:noFill/>
                    <a:ln>
                      <a:noFill/>
                    </a:ln>
                  </pic:spPr>
                </pic:pic>
              </a:graphicData>
            </a:graphic>
          </wp:inline>
        </w:drawing>
      </w:r>
      <w:r>
        <w:rPr>
          <w:rFonts w:hint="eastAsia" w:ascii="宋体" w:hAnsi="宋体" w:eastAsia="宋体" w:cs="宋体"/>
          <w:color w:val="FF0000"/>
          <w:kern w:val="0"/>
          <w:sz w:val="24"/>
          <w:u w:val="thick"/>
          <w:lang w:eastAsia="zh-CN"/>
        </w:rPr>
        <w:drawing>
          <wp:inline distT="0" distB="0" distL="114300" distR="114300">
            <wp:extent cx="5250815" cy="3249295"/>
            <wp:effectExtent l="0" t="0" r="6985" b="8255"/>
            <wp:docPr id="22"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descr="2"/>
                    <pic:cNvPicPr>
                      <a:picLocks noChangeAspect="1"/>
                    </pic:cNvPicPr>
                  </pic:nvPicPr>
                  <pic:blipFill>
                    <a:blip r:embed="rId12"/>
                    <a:stretch>
                      <a:fillRect/>
                    </a:stretch>
                  </pic:blipFill>
                  <pic:spPr>
                    <a:xfrm>
                      <a:off x="0" y="0"/>
                      <a:ext cx="5250815" cy="3249295"/>
                    </a:xfrm>
                    <a:prstGeom prst="rect">
                      <a:avLst/>
                    </a:prstGeom>
                    <a:noFill/>
                    <a:ln>
                      <a:noFill/>
                    </a:ln>
                  </pic:spPr>
                </pic:pic>
              </a:graphicData>
            </a:graphic>
          </wp:inline>
        </w:drawing>
      </w:r>
    </w:p>
    <w:p>
      <w:pPr>
        <w:snapToGrid w:val="0"/>
        <w:spacing w:line="360" w:lineRule="auto"/>
        <w:rPr>
          <w:rFonts w:hint="eastAsia" w:ascii="宋体" w:hAnsi="宋体" w:cs="宋体"/>
          <w:color w:val="FF0000"/>
          <w:kern w:val="0"/>
          <w:sz w:val="24"/>
        </w:rPr>
      </w:pPr>
    </w:p>
    <w:p>
      <w:pPr>
        <w:snapToGrid w:val="0"/>
        <w:spacing w:line="360" w:lineRule="auto"/>
        <w:rPr>
          <w:rFonts w:hint="eastAsia" w:ascii="宋体" w:hAnsi="宋体" w:cs="宋体"/>
          <w:color w:val="FF0000"/>
          <w:kern w:val="0"/>
          <w:sz w:val="24"/>
        </w:rPr>
      </w:pPr>
    </w:p>
    <w:p>
      <w:pPr>
        <w:snapToGrid w:val="0"/>
        <w:spacing w:line="360" w:lineRule="auto"/>
        <w:rPr>
          <w:rFonts w:hint="eastAsia" w:ascii="宋体" w:hAnsi="宋体" w:cs="宋体"/>
          <w:color w:val="FF0000"/>
          <w:kern w:val="0"/>
          <w:sz w:val="24"/>
        </w:rPr>
      </w:pPr>
    </w:p>
    <w:p>
      <w:pPr>
        <w:snapToGrid w:val="0"/>
        <w:spacing w:line="360" w:lineRule="auto"/>
        <w:rPr>
          <w:rFonts w:hint="eastAsia" w:ascii="宋体" w:hAnsi="宋体" w:cs="宋体"/>
          <w:color w:val="FF0000"/>
          <w:kern w:val="0"/>
          <w:sz w:val="24"/>
        </w:rPr>
      </w:pPr>
    </w:p>
    <w:p>
      <w:pPr>
        <w:snapToGrid w:val="0"/>
        <w:spacing w:line="360" w:lineRule="auto"/>
        <w:rPr>
          <w:rFonts w:hint="eastAsia" w:ascii="宋体" w:hAnsi="宋体" w:cs="宋体"/>
          <w:color w:val="FF0000"/>
          <w:kern w:val="0"/>
          <w:sz w:val="24"/>
        </w:rPr>
      </w:pPr>
    </w:p>
    <w:p>
      <w:pPr>
        <w:jc w:val="center"/>
        <w:rPr>
          <w:rFonts w:ascii="宋体" w:hAnsi="宋体" w:cs="宋体"/>
          <w:b/>
          <w:bCs/>
          <w:sz w:val="32"/>
          <w:szCs w:val="32"/>
        </w:rPr>
      </w:pPr>
      <w:r>
        <w:rPr>
          <w:rFonts w:hint="eastAsia" w:ascii="宋体" w:hAnsi="宋体" w:cs="宋体"/>
          <w:b/>
          <w:bCs/>
          <w:sz w:val="32"/>
          <w:szCs w:val="32"/>
        </w:rPr>
        <w:t>商务技术偏离表</w:t>
      </w:r>
    </w:p>
    <w:p>
      <w:pPr>
        <w:spacing w:line="360" w:lineRule="auto"/>
        <w:jc w:val="center"/>
        <w:rPr>
          <w:rFonts w:ascii="宋体" w:hAnsi="宋体" w:cs="宋体"/>
          <w:b/>
          <w:bCs/>
          <w:sz w:val="18"/>
          <w:szCs w:val="18"/>
        </w:rPr>
      </w:pPr>
    </w:p>
    <w:tbl>
      <w:tblPr>
        <w:tblStyle w:val="60"/>
        <w:tblW w:w="89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47"/>
        <w:gridCol w:w="1680"/>
        <w:gridCol w:w="1785"/>
        <w:gridCol w:w="1425"/>
        <w:gridCol w:w="269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4"/>
              </w:rPr>
            </w:pPr>
            <w:r>
              <w:rPr>
                <w:rFonts w:hint="eastAsia" w:ascii="宋体" w:hAnsi="宋体" w:cs="宋体"/>
                <w:sz w:val="24"/>
              </w:rPr>
              <w:t>名称</w:t>
            </w:r>
          </w:p>
        </w:tc>
        <w:tc>
          <w:tcPr>
            <w:tcW w:w="168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4"/>
              </w:rPr>
            </w:pPr>
            <w:r>
              <w:rPr>
                <w:rFonts w:hint="eastAsia" w:ascii="宋体" w:hAnsi="宋体" w:cs="宋体"/>
                <w:sz w:val="24"/>
              </w:rPr>
              <w:t>采购要求</w:t>
            </w:r>
          </w:p>
        </w:tc>
        <w:tc>
          <w:tcPr>
            <w:tcW w:w="17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4"/>
              </w:rPr>
            </w:pPr>
            <w:r>
              <w:rPr>
                <w:rFonts w:hint="eastAsia" w:ascii="宋体" w:hAnsi="宋体" w:cs="宋体"/>
                <w:sz w:val="24"/>
              </w:rPr>
              <w:t>投标响应</w:t>
            </w:r>
          </w:p>
        </w:tc>
        <w:tc>
          <w:tcPr>
            <w:tcW w:w="142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 w:val="24"/>
              </w:rPr>
            </w:pPr>
            <w:r>
              <w:rPr>
                <w:rFonts w:hint="eastAsia" w:ascii="宋体" w:hAnsi="宋体" w:cs="宋体"/>
                <w:sz w:val="24"/>
              </w:rPr>
              <w:t>偏离</w:t>
            </w:r>
          </w:p>
        </w:tc>
        <w:tc>
          <w:tcPr>
            <w:tcW w:w="269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sz w:val="24"/>
                <w:lang w:eastAsia="zh-CN"/>
              </w:rPr>
            </w:pPr>
            <w:r>
              <w:rPr>
                <w:rFonts w:hint="eastAsia" w:ascii="宋体" w:hAnsi="宋体" w:cs="宋体"/>
                <w:sz w:val="24"/>
              </w:rPr>
              <w:t>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42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2691"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42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2691"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42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2691"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47"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78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142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c>
          <w:tcPr>
            <w:tcW w:w="2691"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ascii="宋体" w:hAnsi="宋体" w:cs="宋体"/>
                <w:sz w:val="24"/>
              </w:rPr>
            </w:pPr>
          </w:p>
        </w:tc>
      </w:tr>
    </w:tbl>
    <w:p>
      <w:pPr>
        <w:autoSpaceDE w:val="0"/>
        <w:autoSpaceDN w:val="0"/>
        <w:spacing w:line="360" w:lineRule="auto"/>
        <w:rPr>
          <w:rFonts w:hint="eastAsia" w:ascii="宋体" w:hAnsi="宋体" w:cs="宋体"/>
          <w:kern w:val="0"/>
          <w:sz w:val="24"/>
        </w:rPr>
      </w:pPr>
      <w:r>
        <w:rPr>
          <w:rFonts w:hint="eastAsia" w:ascii="宋体" w:hAnsi="宋体" w:cs="宋体"/>
          <w:kern w:val="0"/>
          <w:sz w:val="24"/>
          <w:lang w:val="zh-CN"/>
        </w:rPr>
        <w:t>备注：</w:t>
      </w:r>
      <w:r>
        <w:rPr>
          <w:rFonts w:hint="eastAsia" w:ascii="宋体" w:hAnsi="宋体" w:cs="宋体"/>
          <w:kern w:val="0"/>
          <w:sz w:val="24"/>
          <w:lang w:val="en-US" w:eastAsia="zh-CN"/>
        </w:rPr>
        <w:t>1、</w:t>
      </w:r>
      <w:r>
        <w:rPr>
          <w:rFonts w:hint="eastAsia" w:ascii="宋体" w:hAnsi="宋体" w:cs="宋体"/>
          <w:kern w:val="0"/>
          <w:sz w:val="24"/>
          <w:lang w:val="zh-CN"/>
        </w:rPr>
        <w:t>逐项填写，</w:t>
      </w:r>
      <w:r>
        <w:rPr>
          <w:rFonts w:hint="eastAsia" w:ascii="宋体" w:hAnsi="宋体" w:cs="宋体"/>
          <w:kern w:val="0"/>
          <w:sz w:val="24"/>
        </w:rPr>
        <w:t>如均响应招标文件要求的，可在“投标响应”栏填写均响应招标文件即可</w:t>
      </w:r>
      <w:r>
        <w:rPr>
          <w:rFonts w:hint="eastAsia" w:ascii="宋体" w:hAnsi="宋体" w:cs="宋体"/>
          <w:b/>
          <w:bCs/>
          <w:kern w:val="0"/>
          <w:sz w:val="24"/>
          <w:u w:val="single"/>
        </w:rPr>
        <w:t>（所要求的相关证明材料类必须附上，否则视为未提供）</w:t>
      </w:r>
      <w:r>
        <w:rPr>
          <w:rFonts w:hint="eastAsia" w:ascii="宋体" w:hAnsi="宋体" w:cs="宋体"/>
          <w:kern w:val="0"/>
          <w:sz w:val="24"/>
        </w:rPr>
        <w:t>。</w:t>
      </w:r>
    </w:p>
    <w:p>
      <w:pPr>
        <w:autoSpaceDE w:val="0"/>
        <w:autoSpaceDN w:val="0"/>
        <w:spacing w:line="360" w:lineRule="auto"/>
        <w:rPr>
          <w:rFonts w:hint="eastAsia" w:ascii="宋体" w:hAnsi="宋体" w:cs="宋体"/>
          <w:kern w:val="0"/>
          <w:sz w:val="24"/>
          <w:lang w:val="en-US" w:eastAsia="zh-CN"/>
        </w:rPr>
      </w:pPr>
      <w:r>
        <w:rPr>
          <w:rFonts w:hint="eastAsia" w:ascii="宋体" w:hAnsi="宋体" w:cs="宋体"/>
          <w:kern w:val="0"/>
          <w:sz w:val="24"/>
          <w:lang w:val="en-US" w:eastAsia="zh-CN"/>
        </w:rPr>
        <w:t>2、如未填写或漏填，均视为默认全部响应。</w:t>
      </w:r>
    </w:p>
    <w:p>
      <w:pPr>
        <w:autoSpaceDE w:val="0"/>
        <w:autoSpaceDN w:val="0"/>
        <w:spacing w:line="360" w:lineRule="auto"/>
        <w:rPr>
          <w:rFonts w:hint="default" w:ascii="宋体" w:hAnsi="宋体" w:cs="宋体"/>
          <w:kern w:val="0"/>
          <w:sz w:val="24"/>
          <w:lang w:val="en-US" w:eastAsia="zh-CN"/>
        </w:rPr>
      </w:pPr>
      <w:r>
        <w:rPr>
          <w:rFonts w:hint="eastAsia" w:ascii="宋体" w:hAnsi="宋体" w:cs="宋体"/>
          <w:kern w:val="0"/>
          <w:sz w:val="24"/>
          <w:lang w:val="en-US" w:eastAsia="zh-CN"/>
        </w:rPr>
        <w:t>3、未提供此表作无效标处理。</w:t>
      </w: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spacing w:line="360" w:lineRule="auto"/>
        <w:ind w:left="-424" w:leftChars="-202"/>
        <w:jc w:val="center"/>
        <w:rPr>
          <w:rFonts w:hint="eastAsia" w:ascii="宋体" w:hAnsi="宋体" w:eastAsia="宋体" w:cs="宋体"/>
          <w:b/>
          <w:color w:val="auto"/>
          <w:sz w:val="28"/>
          <w:szCs w:val="28"/>
          <w:lang w:eastAsia="zh-CN"/>
        </w:rPr>
      </w:pPr>
      <w:r>
        <w:rPr>
          <w:rFonts w:hint="eastAsia" w:ascii="宋体" w:hAnsi="宋体" w:eastAsia="宋体" w:cs="宋体"/>
          <w:b/>
          <w:color w:val="auto"/>
          <w:sz w:val="28"/>
          <w:szCs w:val="28"/>
        </w:rPr>
        <w:t>货物（设备）配置清单表</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lang w:val="en-US" w:eastAsia="zh-CN"/>
        </w:rPr>
        <w:t>相关主要材料与设备应提供此表</w:t>
      </w:r>
      <w:r>
        <w:rPr>
          <w:rFonts w:hint="eastAsia" w:ascii="宋体" w:hAnsi="宋体" w:eastAsia="宋体" w:cs="宋体"/>
          <w:b/>
          <w:color w:val="auto"/>
          <w:sz w:val="28"/>
          <w:szCs w:val="28"/>
          <w:lang w:eastAsia="zh-CN"/>
        </w:rPr>
        <w:t>）</w:t>
      </w:r>
    </w:p>
    <w:p>
      <w:pPr>
        <w:pStyle w:val="58"/>
        <w:rPr>
          <w:rFonts w:hint="eastAsia"/>
          <w:lang w:eastAsia="zh-CN"/>
        </w:rPr>
      </w:pPr>
    </w:p>
    <w:p>
      <w:pPr>
        <w:spacing w:line="360" w:lineRule="auto"/>
        <w:ind w:left="-424" w:leftChars="-202" w:firstLine="720" w:firstLineChars="300"/>
        <w:rPr>
          <w:rFonts w:hint="eastAsia" w:ascii="宋体" w:hAnsi="宋体" w:eastAsia="宋体" w:cs="宋体"/>
          <w:b w:val="0"/>
          <w:bCs/>
          <w:color w:val="auto"/>
          <w:sz w:val="24"/>
        </w:rPr>
      </w:pPr>
      <w:r>
        <w:rPr>
          <w:rFonts w:hint="eastAsia" w:ascii="宋体" w:hAnsi="宋体" w:eastAsia="宋体" w:cs="宋体"/>
          <w:b w:val="0"/>
          <w:bCs/>
          <w:color w:val="auto"/>
          <w:sz w:val="24"/>
        </w:rPr>
        <w:t>项目名称：</w:t>
      </w:r>
      <w:r>
        <w:rPr>
          <w:rFonts w:hint="eastAsia" w:ascii="宋体" w:hAnsi="宋体" w:eastAsia="宋体" w:cs="宋体"/>
          <w:b w:val="0"/>
          <w:bCs/>
          <w:color w:val="auto"/>
          <w:kern w:val="0"/>
          <w:sz w:val="24"/>
          <w:szCs w:val="28"/>
          <w:u w:val="single"/>
        </w:rPr>
        <w:t xml:space="preserve">                       </w:t>
      </w:r>
    </w:p>
    <w:p>
      <w:pPr>
        <w:spacing w:line="360" w:lineRule="auto"/>
        <w:ind w:left="-424" w:leftChars="-202" w:firstLine="720" w:firstLineChars="300"/>
        <w:rPr>
          <w:rFonts w:hint="eastAsia" w:ascii="宋体" w:hAnsi="宋体" w:eastAsia="宋体" w:cs="宋体"/>
          <w:b w:val="0"/>
          <w:bCs/>
          <w:color w:val="auto"/>
          <w:kern w:val="0"/>
          <w:sz w:val="24"/>
          <w:u w:val="single"/>
        </w:rPr>
      </w:pPr>
      <w:r>
        <w:rPr>
          <w:rFonts w:hint="eastAsia" w:ascii="宋体" w:hAnsi="宋体" w:eastAsia="宋体" w:cs="宋体"/>
          <w:b w:val="0"/>
          <w:bCs/>
          <w:color w:val="auto"/>
          <w:sz w:val="24"/>
        </w:rPr>
        <w:t>项目编号：</w:t>
      </w:r>
      <w:r>
        <w:rPr>
          <w:rFonts w:hint="eastAsia" w:ascii="宋体" w:hAnsi="宋体" w:eastAsia="宋体" w:cs="宋体"/>
          <w:b w:val="0"/>
          <w:bCs/>
          <w:color w:val="auto"/>
          <w:kern w:val="0"/>
          <w:sz w:val="24"/>
          <w:szCs w:val="28"/>
          <w:u w:val="single"/>
        </w:rPr>
        <w:t xml:space="preserve">                       </w:t>
      </w:r>
    </w:p>
    <w:tbl>
      <w:tblPr>
        <w:tblStyle w:val="6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50"/>
        <w:gridCol w:w="1974"/>
        <w:gridCol w:w="985"/>
        <w:gridCol w:w="1504"/>
        <w:gridCol w:w="1667"/>
        <w:gridCol w:w="26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65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b w:val="0"/>
                <w:bCs/>
                <w:color w:val="auto"/>
                <w:kern w:val="0"/>
                <w:sz w:val="22"/>
                <w:szCs w:val="22"/>
              </w:rPr>
            </w:pPr>
            <w:r>
              <w:rPr>
                <w:rFonts w:hint="eastAsia" w:ascii="宋体" w:hAnsi="宋体" w:eastAsia="宋体" w:cs="宋体"/>
                <w:b w:val="0"/>
                <w:bCs/>
                <w:color w:val="auto"/>
                <w:kern w:val="0"/>
                <w:sz w:val="22"/>
                <w:szCs w:val="22"/>
              </w:rPr>
              <w:t>序号</w:t>
            </w:r>
          </w:p>
        </w:tc>
        <w:tc>
          <w:tcPr>
            <w:tcW w:w="197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b w:val="0"/>
                <w:bCs/>
                <w:color w:val="auto"/>
                <w:kern w:val="0"/>
                <w:sz w:val="22"/>
                <w:szCs w:val="22"/>
              </w:rPr>
            </w:pPr>
            <w:r>
              <w:rPr>
                <w:rFonts w:hint="eastAsia" w:ascii="宋体" w:hAnsi="宋体" w:eastAsia="宋体" w:cs="宋体"/>
                <w:b w:val="0"/>
                <w:bCs/>
                <w:color w:val="auto"/>
                <w:kern w:val="0"/>
                <w:sz w:val="22"/>
                <w:szCs w:val="22"/>
              </w:rPr>
              <w:t>设备名称</w:t>
            </w:r>
          </w:p>
        </w:tc>
        <w:tc>
          <w:tcPr>
            <w:tcW w:w="98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b w:val="0"/>
                <w:bCs/>
                <w:color w:val="auto"/>
                <w:kern w:val="0"/>
                <w:sz w:val="22"/>
                <w:szCs w:val="22"/>
              </w:rPr>
            </w:pPr>
            <w:r>
              <w:rPr>
                <w:rFonts w:hint="eastAsia" w:ascii="宋体" w:hAnsi="宋体" w:eastAsia="宋体" w:cs="宋体"/>
                <w:b w:val="0"/>
                <w:bCs/>
                <w:color w:val="auto"/>
                <w:kern w:val="0"/>
                <w:sz w:val="22"/>
                <w:szCs w:val="22"/>
              </w:rPr>
              <w:t>品牌</w:t>
            </w:r>
          </w:p>
        </w:tc>
        <w:tc>
          <w:tcPr>
            <w:tcW w:w="1504"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b w:val="0"/>
                <w:bCs/>
                <w:color w:val="auto"/>
                <w:kern w:val="0"/>
                <w:sz w:val="22"/>
                <w:szCs w:val="22"/>
              </w:rPr>
            </w:pPr>
            <w:r>
              <w:rPr>
                <w:rFonts w:hint="eastAsia" w:ascii="宋体" w:hAnsi="宋体" w:eastAsia="宋体" w:cs="宋体"/>
                <w:b w:val="0"/>
                <w:bCs/>
                <w:color w:val="auto"/>
                <w:kern w:val="0"/>
                <w:sz w:val="22"/>
                <w:szCs w:val="22"/>
              </w:rPr>
              <w:t>规格型号</w:t>
            </w:r>
          </w:p>
        </w:tc>
        <w:tc>
          <w:tcPr>
            <w:tcW w:w="166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b w:val="0"/>
                <w:bCs/>
                <w:color w:val="auto"/>
                <w:kern w:val="0"/>
                <w:sz w:val="22"/>
                <w:szCs w:val="22"/>
              </w:rPr>
            </w:pPr>
            <w:r>
              <w:rPr>
                <w:rFonts w:hint="eastAsia" w:ascii="宋体" w:hAnsi="宋体" w:eastAsia="宋体" w:cs="宋体"/>
                <w:b w:val="0"/>
                <w:bCs/>
                <w:color w:val="auto"/>
                <w:kern w:val="0"/>
                <w:sz w:val="22"/>
                <w:szCs w:val="22"/>
              </w:rPr>
              <w:t>单位及数量</w:t>
            </w:r>
          </w:p>
        </w:tc>
        <w:tc>
          <w:tcPr>
            <w:tcW w:w="261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宋体" w:hAnsi="宋体" w:eastAsia="宋体" w:cs="宋体"/>
                <w:b w:val="0"/>
                <w:bCs/>
                <w:color w:val="auto"/>
                <w:kern w:val="0"/>
                <w:sz w:val="22"/>
                <w:szCs w:val="22"/>
              </w:rPr>
            </w:pPr>
            <w:r>
              <w:rPr>
                <w:rFonts w:hint="eastAsia" w:ascii="宋体" w:hAnsi="宋体" w:eastAsia="宋体" w:cs="宋体"/>
                <w:b w:val="0"/>
                <w:bCs/>
                <w:color w:val="auto"/>
                <w:kern w:val="0"/>
                <w:sz w:val="22"/>
                <w:szCs w:val="22"/>
              </w:rPr>
              <w:t>技术参数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65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197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p>
            <w:pPr>
              <w:snapToGrid w:val="0"/>
              <w:spacing w:before="50" w:after="50"/>
              <w:jc w:val="center"/>
              <w:rPr>
                <w:rFonts w:hint="eastAsia" w:ascii="宋体" w:hAnsi="宋体" w:eastAsia="宋体" w:cs="宋体"/>
                <w:color w:val="auto"/>
                <w:sz w:val="24"/>
                <w:szCs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15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166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261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65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197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98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15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166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261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5" w:hRule="atLeast"/>
          <w:jc w:val="center"/>
        </w:trPr>
        <w:tc>
          <w:tcPr>
            <w:tcW w:w="650"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197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r>
              <w:rPr>
                <w:rFonts w:hint="eastAsia" w:ascii="宋体" w:hAnsi="宋体" w:eastAsia="宋体" w:cs="宋体"/>
                <w:color w:val="auto"/>
                <w:sz w:val="24"/>
                <w:szCs w:val="20"/>
              </w:rPr>
              <w:t>……</w:t>
            </w:r>
          </w:p>
        </w:tc>
        <w:tc>
          <w:tcPr>
            <w:tcW w:w="98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ind w:left="480" w:hanging="480"/>
              <w:jc w:val="center"/>
              <w:rPr>
                <w:rFonts w:hint="eastAsia" w:ascii="宋体" w:hAnsi="宋体" w:eastAsia="宋体" w:cs="宋体"/>
                <w:color w:val="auto"/>
                <w:sz w:val="24"/>
                <w:szCs w:val="20"/>
              </w:rPr>
            </w:pPr>
          </w:p>
        </w:tc>
        <w:tc>
          <w:tcPr>
            <w:tcW w:w="15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166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c>
          <w:tcPr>
            <w:tcW w:w="261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50" w:after="50"/>
              <w:jc w:val="center"/>
              <w:rPr>
                <w:rFonts w:hint="eastAsia" w:ascii="宋体" w:hAnsi="宋体" w:eastAsia="宋体" w:cs="宋体"/>
                <w:color w:val="auto"/>
                <w:sz w:val="24"/>
                <w:szCs w:val="20"/>
              </w:rPr>
            </w:pPr>
          </w:p>
        </w:tc>
      </w:tr>
    </w:tbl>
    <w:p>
      <w:pPr>
        <w:snapToGrid w:val="0"/>
        <w:spacing w:line="360" w:lineRule="auto"/>
        <w:ind w:firstLine="480" w:firstLineChars="200"/>
        <w:rPr>
          <w:rFonts w:hint="eastAsia" w:ascii="宋体" w:hAnsi="宋体" w:eastAsia="宋体" w:cs="宋体"/>
          <w:color w:val="auto"/>
          <w:sz w:val="24"/>
        </w:rPr>
      </w:pP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spacing w:line="480" w:lineRule="exact"/>
        <w:jc w:val="center"/>
        <w:rPr>
          <w:rFonts w:hint="eastAsia" w:ascii="宋体" w:hAnsi="宋体" w:cs="宋体"/>
          <w:b/>
          <w:sz w:val="36"/>
          <w:szCs w:val="36"/>
          <w:lang w:val="zh-CN"/>
        </w:rPr>
      </w:pPr>
    </w:p>
    <w:p>
      <w:pPr>
        <w:spacing w:line="480" w:lineRule="exact"/>
        <w:jc w:val="center"/>
        <w:rPr>
          <w:rFonts w:hint="eastAsia" w:ascii="宋体" w:hAnsi="宋体" w:cs="宋体"/>
          <w:b/>
          <w:bCs/>
          <w:sz w:val="32"/>
          <w:szCs w:val="32"/>
        </w:rPr>
      </w:pPr>
      <w:r>
        <w:rPr>
          <w:rFonts w:hint="eastAsia" w:ascii="宋体" w:hAnsi="宋体" w:cs="宋体"/>
          <w:b/>
          <w:bCs/>
          <w:sz w:val="32"/>
          <w:szCs w:val="32"/>
        </w:rPr>
        <w:t>项目整体实施的组织班子和人员情况</w:t>
      </w:r>
    </w:p>
    <w:p>
      <w:pPr>
        <w:spacing w:line="480" w:lineRule="exact"/>
        <w:jc w:val="center"/>
        <w:rPr>
          <w:rFonts w:hint="eastAsia" w:ascii="宋体" w:hAnsi="宋体" w:cs="宋体"/>
          <w:b/>
          <w:sz w:val="36"/>
          <w:szCs w:val="36"/>
          <w:lang w:val="zh-CN"/>
        </w:rPr>
      </w:pPr>
    </w:p>
    <w:tbl>
      <w:tblPr>
        <w:tblStyle w:val="60"/>
        <w:tblW w:w="9030" w:type="dxa"/>
        <w:jc w:val="center"/>
        <w:tblLayout w:type="fixed"/>
        <w:tblCellMar>
          <w:top w:w="0" w:type="dxa"/>
          <w:left w:w="108" w:type="dxa"/>
          <w:bottom w:w="0" w:type="dxa"/>
          <w:right w:w="108" w:type="dxa"/>
        </w:tblCellMar>
      </w:tblPr>
      <w:tblGrid>
        <w:gridCol w:w="420"/>
        <w:gridCol w:w="787"/>
        <w:gridCol w:w="609"/>
        <w:gridCol w:w="540"/>
        <w:gridCol w:w="884"/>
        <w:gridCol w:w="1080"/>
        <w:gridCol w:w="1080"/>
        <w:gridCol w:w="1260"/>
        <w:gridCol w:w="900"/>
        <w:gridCol w:w="1470"/>
      </w:tblGrid>
      <w:tr>
        <w:tblPrEx>
          <w:tblCellMar>
            <w:top w:w="0" w:type="dxa"/>
            <w:left w:w="108" w:type="dxa"/>
            <w:bottom w:w="0" w:type="dxa"/>
            <w:right w:w="108" w:type="dxa"/>
          </w:tblCellMar>
        </w:tblPrEx>
        <w:trPr>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序号</w:t>
            </w: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姓名</w:t>
            </w: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性别</w:t>
            </w: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年龄</w:t>
            </w: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学历</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专业</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职称等证书</w:t>
            </w: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本项目中的职责</w:t>
            </w: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项目经历</w:t>
            </w: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r>
              <w:rPr>
                <w:rFonts w:hint="eastAsia" w:ascii="宋体" w:hAnsi="宋体" w:cs="仿宋_GB2312"/>
                <w:sz w:val="24"/>
              </w:rPr>
              <w:t>参与本项目的到位情况</w:t>
            </w:r>
          </w:p>
        </w:tc>
      </w:tr>
      <w:tr>
        <w:tblPrEx>
          <w:tblCellMar>
            <w:top w:w="0" w:type="dxa"/>
            <w:left w:w="108" w:type="dxa"/>
            <w:bottom w:w="0" w:type="dxa"/>
            <w:right w:w="108" w:type="dxa"/>
          </w:tblCellMar>
        </w:tblPrEx>
        <w:trPr>
          <w:trHeight w:val="479"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r>
      <w:tr>
        <w:tblPrEx>
          <w:tblCellMar>
            <w:top w:w="0" w:type="dxa"/>
            <w:left w:w="108" w:type="dxa"/>
            <w:bottom w:w="0" w:type="dxa"/>
            <w:right w:w="108" w:type="dxa"/>
          </w:tblCellMar>
        </w:tblPrEx>
        <w:trPr>
          <w:trHeight w:val="473" w:hRule="atLeast"/>
          <w:jc w:val="center"/>
        </w:trPr>
        <w:tc>
          <w:tcPr>
            <w:tcW w:w="42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609"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54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8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26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90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c>
          <w:tcPr>
            <w:tcW w:w="147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spacing w:line="360" w:lineRule="auto"/>
              <w:jc w:val="center"/>
              <w:rPr>
                <w:rFonts w:hint="eastAsia" w:ascii="宋体" w:hAnsi="宋体" w:cs="仿宋_GB2312"/>
                <w:sz w:val="24"/>
              </w:rPr>
            </w:pPr>
          </w:p>
        </w:tc>
      </w:tr>
    </w:tbl>
    <w:p>
      <w:pPr>
        <w:spacing w:line="480" w:lineRule="exact"/>
        <w:rPr>
          <w:rFonts w:hint="eastAsia" w:ascii="宋体" w:hAnsi="宋体" w:cs="宋体"/>
          <w:kern w:val="0"/>
          <w:sz w:val="24"/>
          <w:lang w:val="zh-CN"/>
        </w:rPr>
      </w:pPr>
      <w:r>
        <w:rPr>
          <w:rFonts w:hint="eastAsia" w:ascii="宋体" w:hAnsi="宋体" w:cs="宋体"/>
          <w:kern w:val="0"/>
          <w:sz w:val="24"/>
          <w:lang w:val="zh-CN"/>
        </w:rPr>
        <w:t>注：投标人可按上述的格式自行编制（</w:t>
      </w:r>
      <w:r>
        <w:rPr>
          <w:rFonts w:hint="eastAsia" w:ascii="宋体" w:hAnsi="宋体" w:cs="宋体"/>
          <w:kern w:val="0"/>
          <w:sz w:val="24"/>
        </w:rPr>
        <w:t>可根据自身情况稍作修改</w:t>
      </w:r>
      <w:r>
        <w:rPr>
          <w:rFonts w:hint="eastAsia" w:ascii="宋体" w:hAnsi="宋体" w:cs="宋体"/>
          <w:kern w:val="0"/>
          <w:sz w:val="24"/>
          <w:lang w:val="zh-CN"/>
        </w:rPr>
        <w:t>），</w:t>
      </w:r>
      <w:r>
        <w:rPr>
          <w:rFonts w:hint="eastAsia" w:ascii="宋体" w:hAnsi="宋体" w:cs="宋体"/>
          <w:kern w:val="0"/>
          <w:sz w:val="24"/>
        </w:rPr>
        <w:t>相关证明材料附后</w:t>
      </w:r>
      <w:r>
        <w:rPr>
          <w:rFonts w:hint="eastAsia" w:ascii="宋体" w:hAnsi="宋体" w:cs="宋体"/>
          <w:kern w:val="0"/>
          <w:sz w:val="24"/>
          <w:lang w:val="zh-CN"/>
        </w:rPr>
        <w:t>。</w:t>
      </w:r>
    </w:p>
    <w:p>
      <w:pPr>
        <w:spacing w:line="480" w:lineRule="exact"/>
        <w:jc w:val="center"/>
        <w:rPr>
          <w:rFonts w:hint="eastAsia" w:ascii="宋体" w:hAnsi="宋体" w:cs="宋体"/>
          <w:b/>
          <w:sz w:val="36"/>
          <w:szCs w:val="36"/>
          <w:lang w:val="zh-CN"/>
        </w:rPr>
      </w:pP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jc w:val="center"/>
        <w:rPr>
          <w:rFonts w:hint="eastAsia" w:ascii="宋体" w:hAnsi="宋体" w:cs="宋体"/>
          <w:b/>
          <w:sz w:val="32"/>
          <w:szCs w:val="32"/>
        </w:rPr>
      </w:pPr>
      <w:r>
        <w:rPr>
          <w:rFonts w:hint="eastAsia" w:ascii="宋体" w:hAnsi="宋体" w:cs="宋体"/>
          <w:b/>
          <w:bCs/>
          <w:sz w:val="32"/>
          <w:szCs w:val="32"/>
        </w:rPr>
        <w:t>法定代表人资格证明书</w:t>
      </w:r>
    </w:p>
    <w:p>
      <w:pPr>
        <w:rPr>
          <w:rFonts w:hint="eastAsia" w:ascii="宋体" w:hAnsi="宋体" w:cs="宋体"/>
          <w:sz w:val="28"/>
        </w:rPr>
      </w:pPr>
    </w:p>
    <w:p>
      <w:pPr>
        <w:spacing w:line="360" w:lineRule="auto"/>
        <w:rPr>
          <w:rFonts w:hint="eastAsia" w:ascii="宋体" w:hAnsi="宋体" w:cs="宋体"/>
          <w:sz w:val="24"/>
          <w:u w:val="single"/>
        </w:rPr>
      </w:pPr>
      <w:r>
        <w:rPr>
          <w:rFonts w:hint="eastAsia" w:ascii="宋体" w:hAnsi="宋体" w:cs="宋体"/>
          <w:sz w:val="24"/>
        </w:rPr>
        <w:t>供应商名称：</w:t>
      </w:r>
    </w:p>
    <w:p>
      <w:pPr>
        <w:spacing w:line="360" w:lineRule="auto"/>
        <w:rPr>
          <w:rFonts w:hint="eastAsia" w:ascii="宋体" w:hAnsi="宋体" w:cs="宋体"/>
          <w:sz w:val="24"/>
          <w:u w:val="single"/>
        </w:rPr>
      </w:pPr>
      <w:r>
        <w:rPr>
          <w:rFonts w:hint="eastAsia" w:ascii="宋体" w:hAnsi="宋体" w:cs="宋体"/>
          <w:sz w:val="24"/>
        </w:rPr>
        <w:t>单位地址：</w:t>
      </w:r>
    </w:p>
    <w:p>
      <w:pPr>
        <w:spacing w:line="360" w:lineRule="auto"/>
        <w:rPr>
          <w:rFonts w:hint="eastAsia" w:ascii="宋体" w:hAnsi="宋体" w:cs="宋体"/>
          <w:sz w:val="24"/>
        </w:rPr>
      </w:pPr>
      <w:r>
        <w:rPr>
          <w:rFonts w:hint="eastAsia" w:ascii="宋体" w:hAnsi="宋体" w:cs="宋体"/>
          <w:sz w:val="24"/>
        </w:rPr>
        <w:t>姓名：         性别：      年龄：      职务：</w:t>
      </w:r>
    </w:p>
    <w:p>
      <w:pPr>
        <w:spacing w:line="360" w:lineRule="auto"/>
        <w:ind w:firstLine="480" w:firstLineChars="200"/>
        <w:rPr>
          <w:rFonts w:hint="eastAsia" w:ascii="宋体" w:hAnsi="宋体" w:cs="宋体"/>
          <w:sz w:val="24"/>
        </w:rPr>
      </w:pPr>
      <w:r>
        <w:rPr>
          <w:rFonts w:hint="eastAsia" w:ascii="宋体" w:hAnsi="宋体" w:cs="宋体"/>
          <w:sz w:val="24"/>
        </w:rPr>
        <w:t xml:space="preserve">系 </w:t>
      </w:r>
      <w:r>
        <w:rPr>
          <w:rFonts w:hint="eastAsia" w:ascii="宋体" w:hAnsi="宋体" w:cs="宋体"/>
          <w:sz w:val="24"/>
          <w:u w:val="single"/>
        </w:rPr>
        <w:t>（供应商名称）</w:t>
      </w:r>
      <w:r>
        <w:rPr>
          <w:rFonts w:hint="eastAsia" w:ascii="宋体" w:hAnsi="宋体" w:cs="宋体"/>
          <w:sz w:val="24"/>
        </w:rPr>
        <w:t xml:space="preserve"> 的法定代表人。为 </w:t>
      </w:r>
      <w:r>
        <w:rPr>
          <w:rFonts w:hint="eastAsia" w:ascii="宋体" w:hAnsi="宋体" w:cs="宋体"/>
          <w:sz w:val="24"/>
          <w:u w:val="single"/>
        </w:rPr>
        <w:t xml:space="preserve"> （项目名称）（项目编号）</w:t>
      </w:r>
      <w:r>
        <w:rPr>
          <w:rFonts w:hint="eastAsia" w:ascii="宋体" w:hAnsi="宋体" w:cs="宋体"/>
          <w:sz w:val="24"/>
        </w:rPr>
        <w:t>的投标以及签署上述项目的投标文件，进行合同谈判、签署合同和处理与之有关的一切事务。</w:t>
      </w:r>
    </w:p>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特此证明。</w:t>
      </w:r>
    </w:p>
    <w:p>
      <w:pPr>
        <w:spacing w:line="360" w:lineRule="auto"/>
        <w:rPr>
          <w:rFonts w:hint="eastAsia" w:ascii="宋体" w:hAnsi="宋体" w:cs="宋体"/>
          <w:sz w:val="24"/>
        </w:rPr>
      </w:pPr>
    </w:p>
    <w:p>
      <w:pPr>
        <w:spacing w:line="360" w:lineRule="auto"/>
        <w:rPr>
          <w:rFonts w:hint="eastAsia" w:ascii="宋体" w:hAnsi="宋体" w:cs="宋体"/>
          <w:sz w:val="24"/>
        </w:rPr>
      </w:pPr>
    </w:p>
    <w:p>
      <w:pPr>
        <w:snapToGrid w:val="0"/>
        <w:spacing w:line="360" w:lineRule="auto"/>
        <w:ind w:firstLine="3120" w:firstLineChars="1300"/>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法定代表人(签字)：</w:t>
      </w:r>
    </w:p>
    <w:p>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rPr>
        <w:t>日期：  年 月 日</w:t>
      </w:r>
    </w:p>
    <w:p>
      <w:pPr>
        <w:snapToGrid w:val="0"/>
        <w:spacing w:line="360" w:lineRule="auto"/>
        <w:ind w:firstLine="5287" w:firstLineChars="2203"/>
        <w:jc w:val="left"/>
        <w:rPr>
          <w:rFonts w:hint="eastAsia" w:ascii="宋体" w:hAnsi="宋体" w:cs="宋体"/>
          <w:b/>
          <w:sz w:val="24"/>
        </w:rPr>
      </w:pPr>
      <w:r>
        <w:rPr>
          <w:rFonts w:hint="eastAsia" w:ascii="宋体" w:hAnsi="宋体" w:cs="宋体"/>
          <w:sz w:val="24"/>
        </w:rPr>
        <w:t xml:space="preserve"> </w:t>
      </w:r>
    </w:p>
    <w:p>
      <w:pPr>
        <w:snapToGrid w:val="0"/>
        <w:spacing w:line="360" w:lineRule="auto"/>
        <w:jc w:val="center"/>
        <w:rPr>
          <w:rFonts w:hint="eastAsia" w:ascii="宋体" w:hAnsi="宋体" w:cs="宋体"/>
          <w:b/>
          <w:kern w:val="0"/>
          <w:sz w:val="32"/>
          <w:szCs w:val="32"/>
          <w:lang w:val="zh-CN"/>
        </w:rPr>
      </w:pPr>
      <w:r>
        <w:rPr>
          <w:rFonts w:hint="eastAsia" w:ascii="宋体" w:hAnsi="宋体" w:cs="宋体"/>
          <w:b/>
          <w:kern w:val="0"/>
          <w:sz w:val="24"/>
        </w:rPr>
        <w:br w:type="page"/>
      </w:r>
      <w:r>
        <w:rPr>
          <w:rFonts w:hint="eastAsia" w:ascii="宋体" w:hAnsi="宋体" w:cs="宋体"/>
          <w:b/>
          <w:kern w:val="0"/>
          <w:sz w:val="32"/>
          <w:szCs w:val="32"/>
        </w:rPr>
        <w:t>法人</w:t>
      </w:r>
      <w:r>
        <w:rPr>
          <w:rFonts w:hint="eastAsia" w:ascii="宋体" w:hAnsi="宋体" w:cs="宋体"/>
          <w:b/>
          <w:kern w:val="0"/>
          <w:sz w:val="32"/>
          <w:szCs w:val="32"/>
          <w:lang w:val="zh-CN"/>
        </w:rPr>
        <w:t>授权委托书</w:t>
      </w:r>
    </w:p>
    <w:p>
      <w:pPr>
        <w:snapToGrid w:val="0"/>
        <w:spacing w:line="360" w:lineRule="auto"/>
        <w:rPr>
          <w:rFonts w:hint="eastAsia" w:ascii="宋体" w:hAnsi="宋体" w:cs="宋体"/>
          <w:kern w:val="0"/>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r>
        <w:rPr>
          <w:rFonts w:hint="eastAsia" w:ascii="宋体" w:hAnsi="宋体" w:cs="宋体"/>
          <w:kern w:val="0"/>
          <w:sz w:val="24"/>
          <w:lang w:val="zh-CN"/>
        </w:rPr>
        <w:t>：</w:t>
      </w:r>
    </w:p>
    <w:p>
      <w:pPr>
        <w:snapToGrid w:val="0"/>
        <w:spacing w:before="120" w:beforeLines="50" w:after="50" w:line="360" w:lineRule="auto"/>
        <w:ind w:firstLine="720" w:firstLineChars="300"/>
        <w:rPr>
          <w:rFonts w:hint="eastAsia" w:ascii="宋体" w:hAnsi="宋体" w:cs="宋体"/>
          <w:sz w:val="24"/>
        </w:rPr>
      </w:pPr>
      <w:r>
        <w:rPr>
          <w:rFonts w:hint="eastAsia" w:ascii="宋体" w:hAnsi="宋体" w:cs="宋体"/>
          <w:sz w:val="24"/>
        </w:rPr>
        <w:t>我</w:t>
      </w:r>
      <w:r>
        <w:rPr>
          <w:rFonts w:hint="eastAsia" w:ascii="宋体" w:hAnsi="宋体" w:cs="宋体"/>
          <w:sz w:val="24"/>
          <w:u w:val="single"/>
        </w:rPr>
        <w:t>（姓名）</w:t>
      </w:r>
      <w:r>
        <w:rPr>
          <w:rFonts w:hint="eastAsia" w:ascii="宋体" w:hAnsi="宋体" w:cs="宋体"/>
          <w:sz w:val="24"/>
        </w:rPr>
        <w:t>系</w:t>
      </w:r>
      <w:r>
        <w:rPr>
          <w:rFonts w:hint="eastAsia" w:ascii="宋体" w:hAnsi="宋体" w:cs="宋体"/>
          <w:sz w:val="24"/>
          <w:u w:val="single"/>
        </w:rPr>
        <w:t>（供应商名称）</w:t>
      </w:r>
      <w:r>
        <w:rPr>
          <w:rFonts w:hint="eastAsia" w:ascii="宋体" w:hAnsi="宋体" w:cs="宋体"/>
          <w:sz w:val="24"/>
        </w:rPr>
        <w:t>的法定代表人，现授权委托本单位在职职工</w:t>
      </w:r>
      <w:r>
        <w:rPr>
          <w:rFonts w:hint="eastAsia" w:ascii="宋体" w:hAnsi="宋体" w:cs="宋体"/>
          <w:sz w:val="24"/>
          <w:u w:val="single"/>
        </w:rPr>
        <w:t>（姓名）</w:t>
      </w:r>
      <w:r>
        <w:rPr>
          <w:rFonts w:hint="eastAsia" w:ascii="宋体" w:hAnsi="宋体" w:cs="宋体"/>
          <w:sz w:val="24"/>
        </w:rPr>
        <w:t>以我方的名义参加</w:t>
      </w:r>
      <w:r>
        <w:rPr>
          <w:rFonts w:hint="eastAsia" w:ascii="宋体" w:hAnsi="宋体" w:cs="宋体"/>
          <w:sz w:val="24"/>
          <w:u w:val="single"/>
        </w:rPr>
        <w:t>（项目名称）（项目编号）</w:t>
      </w:r>
      <w:r>
        <w:rPr>
          <w:rFonts w:hint="eastAsia" w:ascii="宋体" w:hAnsi="宋体" w:cs="宋体"/>
          <w:sz w:val="24"/>
        </w:rPr>
        <w:t>的采购活动，并代表我方全权办理针对上述项目的投标、开标、评标、签约等具体事务和签署相关文件。</w:t>
      </w:r>
    </w:p>
    <w:p>
      <w:pPr>
        <w:snapToGrid w:val="0"/>
        <w:spacing w:before="120" w:beforeLines="50" w:after="50" w:line="360" w:lineRule="auto"/>
        <w:rPr>
          <w:rFonts w:hint="eastAsia" w:ascii="宋体" w:hAnsi="宋体" w:cs="宋体"/>
          <w:sz w:val="24"/>
        </w:rPr>
      </w:pPr>
      <w:r>
        <w:rPr>
          <w:rFonts w:hint="eastAsia" w:ascii="宋体" w:hAnsi="宋体" w:cs="宋体"/>
          <w:sz w:val="24"/>
        </w:rPr>
        <w:t>我方对被授权人的签名事项负全部责任。</w:t>
      </w:r>
    </w:p>
    <w:p>
      <w:pPr>
        <w:snapToGrid w:val="0"/>
        <w:spacing w:before="120" w:beforeLines="50" w:after="50" w:line="360" w:lineRule="auto"/>
        <w:ind w:firstLine="480"/>
        <w:rPr>
          <w:rFonts w:hint="eastAsia" w:ascii="宋体" w:hAnsi="宋体" w:cs="宋体"/>
          <w:sz w:val="24"/>
        </w:rPr>
      </w:pPr>
      <w:r>
        <w:rPr>
          <w:rFonts w:hint="eastAsia" w:ascii="宋体" w:hAnsi="宋体" w:cs="宋体"/>
          <w:sz w:val="24"/>
          <w:u w:val="single"/>
        </w:rPr>
        <w:t>在撤销授权的书面通知以前，本授权书一直有效。</w:t>
      </w:r>
      <w:r>
        <w:rPr>
          <w:rFonts w:hint="eastAsia" w:ascii="宋体" w:hAnsi="宋体" w:cs="宋体"/>
          <w:sz w:val="24"/>
        </w:rPr>
        <w:t>被授权人在授权书有效期内签署的所有文件不因授权的撤销而失效。</w:t>
      </w:r>
    </w:p>
    <w:p>
      <w:pPr>
        <w:snapToGrid w:val="0"/>
        <w:spacing w:before="120" w:beforeLines="50" w:after="50" w:line="360" w:lineRule="auto"/>
        <w:ind w:firstLine="480"/>
        <w:rPr>
          <w:rFonts w:hint="eastAsia" w:ascii="宋体" w:hAnsi="宋体" w:cs="宋体"/>
          <w:sz w:val="24"/>
        </w:rPr>
      </w:pPr>
      <w:r>
        <w:rPr>
          <w:rFonts w:hint="eastAsia" w:ascii="宋体" w:hAnsi="宋体" w:cs="宋体"/>
          <w:sz w:val="24"/>
        </w:rPr>
        <w:t>被授权人无转委托权，特此委托。</w:t>
      </w:r>
    </w:p>
    <w:p>
      <w:pPr>
        <w:snapToGrid w:val="0"/>
        <w:spacing w:before="120" w:beforeLines="50" w:after="50" w:line="360" w:lineRule="auto"/>
        <w:rPr>
          <w:rFonts w:hint="eastAsia" w:ascii="宋体" w:hAnsi="宋体" w:cs="宋体"/>
          <w:sz w:val="24"/>
        </w:rPr>
      </w:pPr>
    </w:p>
    <w:p>
      <w:pPr>
        <w:snapToGrid w:val="0"/>
        <w:spacing w:before="120" w:beforeLines="50" w:after="50" w:line="360" w:lineRule="auto"/>
        <w:rPr>
          <w:rFonts w:hint="eastAsia" w:ascii="宋体" w:hAnsi="宋体" w:cs="宋体"/>
          <w:sz w:val="24"/>
          <w:u w:val="single"/>
        </w:rPr>
      </w:pPr>
      <w:r>
        <w:rPr>
          <w:rFonts w:hint="eastAsia" w:ascii="宋体" w:hAnsi="宋体" w:cs="宋体"/>
          <w:sz w:val="24"/>
        </w:rPr>
        <w:t>被授权人签名：</w:t>
      </w:r>
      <w:r>
        <w:rPr>
          <w:rFonts w:hint="eastAsia" w:ascii="宋体" w:hAnsi="宋体" w:cs="宋体"/>
          <w:sz w:val="24"/>
          <w:u w:val="single"/>
        </w:rPr>
        <w:t xml:space="preserve">                    </w:t>
      </w:r>
      <w:r>
        <w:rPr>
          <w:rFonts w:hint="eastAsia" w:ascii="宋体" w:hAnsi="宋体" w:cs="宋体"/>
          <w:sz w:val="24"/>
        </w:rPr>
        <w:t xml:space="preserve">             法定代表人签字：</w:t>
      </w:r>
      <w:r>
        <w:rPr>
          <w:rFonts w:hint="eastAsia" w:ascii="宋体" w:hAnsi="宋体" w:cs="宋体"/>
          <w:sz w:val="24"/>
          <w:u w:val="single"/>
        </w:rPr>
        <w:t xml:space="preserve">     </w:t>
      </w:r>
    </w:p>
    <w:p>
      <w:pPr>
        <w:snapToGrid w:val="0"/>
        <w:spacing w:before="120" w:beforeLines="50" w:after="50" w:line="360" w:lineRule="auto"/>
        <w:ind w:firstLine="960" w:firstLineChars="400"/>
        <w:rPr>
          <w:rFonts w:hint="eastAsia" w:ascii="宋体" w:hAnsi="宋体" w:cs="宋体"/>
          <w:sz w:val="24"/>
          <w:u w:val="single"/>
        </w:rPr>
      </w:pPr>
      <w:r>
        <w:rPr>
          <w:rFonts w:hint="eastAsia" w:ascii="宋体" w:hAnsi="宋体" w:cs="宋体"/>
          <w:sz w:val="24"/>
        </w:rPr>
        <w:t>职务：</w:t>
      </w:r>
      <w:r>
        <w:rPr>
          <w:rFonts w:hint="eastAsia" w:ascii="宋体" w:hAnsi="宋体" w:cs="宋体"/>
          <w:sz w:val="24"/>
          <w:u w:val="single"/>
        </w:rPr>
        <w:t xml:space="preserve">                     </w:t>
      </w:r>
    </w:p>
    <w:p>
      <w:pPr>
        <w:snapToGrid w:val="0"/>
        <w:spacing w:before="120" w:beforeLines="50" w:after="50" w:line="360" w:lineRule="auto"/>
        <w:rPr>
          <w:rFonts w:hint="eastAsia" w:ascii="宋体" w:hAnsi="宋体" w:cs="宋体"/>
          <w:sz w:val="24"/>
          <w:u w:val="single"/>
        </w:rPr>
      </w:pPr>
      <w:r>
        <w:rPr>
          <w:rFonts w:hint="eastAsia" w:ascii="宋体" w:hAnsi="宋体" w:cs="宋体"/>
          <w:sz w:val="24"/>
        </w:rPr>
        <w:t>被授权人身份证号码：</w:t>
      </w:r>
      <w:r>
        <w:rPr>
          <w:rFonts w:hint="eastAsia" w:ascii="宋体" w:hAnsi="宋体" w:cs="宋体"/>
          <w:sz w:val="24"/>
          <w:u w:val="single"/>
        </w:rPr>
        <w:t xml:space="preserve">               </w:t>
      </w:r>
    </w:p>
    <w:p>
      <w:pPr>
        <w:snapToGrid w:val="0"/>
        <w:spacing w:line="360" w:lineRule="auto"/>
        <w:ind w:left="5346" w:leftChars="2203" w:hanging="720" w:hangingChars="300"/>
        <w:jc w:val="left"/>
        <w:rPr>
          <w:rFonts w:hint="eastAsia" w:ascii="宋体" w:hAnsi="宋体" w:cs="宋体"/>
          <w:kern w:val="0"/>
          <w:sz w:val="24"/>
          <w:lang w:val="zh-CN"/>
        </w:rPr>
      </w:pPr>
      <w:r>
        <w:rPr>
          <w:rFonts w:hint="eastAsia" w:ascii="宋体" w:hAnsi="宋体" w:cs="宋体"/>
          <w:kern w:val="0"/>
          <w:sz w:val="24"/>
          <w:lang w:val="zh-CN"/>
        </w:rPr>
        <w:t xml:space="preserve">                                               </w:t>
      </w:r>
    </w:p>
    <w:p>
      <w:pPr>
        <w:snapToGrid w:val="0"/>
        <w:spacing w:line="360" w:lineRule="auto"/>
        <w:jc w:val="right"/>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日期：  年 月 日</w:t>
      </w:r>
    </w:p>
    <w:p>
      <w:pPr>
        <w:snapToGrid w:val="0"/>
        <w:ind w:right="480"/>
        <w:rPr>
          <w:rFonts w:hint="eastAsia" w:ascii="宋体" w:hAnsi="宋体" w:cs="宋体"/>
          <w:kern w:val="0"/>
          <w:lang w:val="zh-CN"/>
        </w:rPr>
      </w:pPr>
    </w:p>
    <w:p>
      <w:pPr>
        <w:snapToGrid w:val="0"/>
        <w:ind w:right="480"/>
        <w:jc w:val="center"/>
        <w:rPr>
          <w:rFonts w:hint="eastAsia" w:ascii="宋体" w:hAnsi="宋体" w:cs="宋体"/>
          <w:b/>
          <w:sz w:val="32"/>
          <w:szCs w:val="32"/>
        </w:rPr>
      </w:pPr>
    </w:p>
    <w:p>
      <w:pPr>
        <w:snapToGrid w:val="0"/>
        <w:ind w:right="480"/>
        <w:jc w:val="center"/>
        <w:rPr>
          <w:rFonts w:hint="eastAsia" w:ascii="宋体" w:hAnsi="宋体" w:cs="宋体"/>
          <w:b/>
          <w:sz w:val="32"/>
          <w:szCs w:val="32"/>
        </w:rPr>
      </w:pPr>
    </w:p>
    <w:p>
      <w:pPr>
        <w:snapToGrid w:val="0"/>
        <w:ind w:right="480"/>
        <w:jc w:val="center"/>
        <w:rPr>
          <w:rFonts w:hint="eastAsia" w:ascii="宋体" w:hAnsi="宋体" w:cs="宋体"/>
          <w:b/>
          <w:sz w:val="32"/>
          <w:szCs w:val="32"/>
        </w:rPr>
      </w:pPr>
    </w:p>
    <w:p>
      <w:pPr>
        <w:snapToGrid w:val="0"/>
        <w:ind w:right="480"/>
        <w:jc w:val="center"/>
        <w:rPr>
          <w:rFonts w:hint="eastAsia" w:ascii="宋体" w:hAnsi="宋体" w:cs="宋体"/>
          <w:b/>
          <w:sz w:val="32"/>
          <w:szCs w:val="32"/>
        </w:rPr>
      </w:pPr>
    </w:p>
    <w:p>
      <w:pPr>
        <w:snapToGrid w:val="0"/>
        <w:ind w:right="480"/>
        <w:jc w:val="center"/>
        <w:rPr>
          <w:rFonts w:hint="eastAsia" w:ascii="宋体" w:hAnsi="宋体" w:cs="宋体"/>
          <w:b/>
          <w:sz w:val="32"/>
          <w:szCs w:val="32"/>
        </w:rPr>
      </w:pPr>
    </w:p>
    <w:p>
      <w:pPr>
        <w:snapToGrid w:val="0"/>
        <w:ind w:right="480"/>
        <w:jc w:val="center"/>
        <w:rPr>
          <w:rFonts w:hint="eastAsia" w:ascii="宋体" w:hAnsi="宋体" w:cs="宋体"/>
          <w:b/>
          <w:sz w:val="32"/>
          <w:szCs w:val="32"/>
        </w:rPr>
      </w:pPr>
    </w:p>
    <w:p>
      <w:pPr>
        <w:snapToGrid w:val="0"/>
        <w:ind w:right="480"/>
        <w:jc w:val="center"/>
        <w:rPr>
          <w:rFonts w:hint="eastAsia" w:ascii="宋体" w:hAnsi="宋体" w:cs="宋体"/>
          <w:b/>
          <w:sz w:val="32"/>
          <w:szCs w:val="32"/>
        </w:rPr>
      </w:pPr>
    </w:p>
    <w:p>
      <w:pPr>
        <w:snapToGrid w:val="0"/>
        <w:ind w:right="480"/>
        <w:jc w:val="center"/>
        <w:rPr>
          <w:rFonts w:hint="eastAsia" w:ascii="宋体" w:hAnsi="宋体" w:cs="宋体"/>
          <w:b/>
          <w:sz w:val="32"/>
          <w:szCs w:val="32"/>
        </w:rPr>
      </w:pPr>
    </w:p>
    <w:p>
      <w:pPr>
        <w:snapToGrid w:val="0"/>
        <w:ind w:right="480"/>
        <w:rPr>
          <w:rFonts w:hint="eastAsia" w:ascii="宋体" w:hAnsi="宋体" w:cs="宋体"/>
          <w:b/>
          <w:sz w:val="32"/>
          <w:szCs w:val="32"/>
        </w:rPr>
      </w:pPr>
    </w:p>
    <w:p>
      <w:pPr>
        <w:snapToGrid w:val="0"/>
        <w:ind w:right="480"/>
        <w:rPr>
          <w:rFonts w:hint="eastAsia" w:ascii="宋体" w:hAnsi="宋体" w:cs="宋体"/>
          <w:b/>
          <w:sz w:val="32"/>
          <w:szCs w:val="32"/>
        </w:rPr>
      </w:pPr>
    </w:p>
    <w:p>
      <w:pPr>
        <w:snapToGrid w:val="0"/>
        <w:ind w:right="480"/>
        <w:rPr>
          <w:rFonts w:hint="eastAsia" w:ascii="宋体" w:hAnsi="宋体" w:cs="宋体"/>
          <w:b/>
          <w:sz w:val="32"/>
          <w:szCs w:val="32"/>
        </w:rPr>
      </w:pPr>
    </w:p>
    <w:p>
      <w:pPr>
        <w:snapToGrid w:val="0"/>
        <w:ind w:right="480"/>
        <w:jc w:val="center"/>
        <w:rPr>
          <w:rFonts w:hint="eastAsia" w:ascii="宋体" w:hAnsi="宋体" w:cs="宋体"/>
          <w:b/>
          <w:sz w:val="32"/>
          <w:szCs w:val="32"/>
        </w:rPr>
      </w:pPr>
    </w:p>
    <w:p>
      <w:pPr>
        <w:snapToGrid w:val="0"/>
        <w:ind w:right="480"/>
        <w:jc w:val="center"/>
        <w:rPr>
          <w:rFonts w:hint="eastAsia" w:ascii="宋体" w:hAnsi="宋体" w:cs="宋体"/>
          <w:kern w:val="0"/>
          <w:sz w:val="32"/>
          <w:szCs w:val="32"/>
          <w:lang w:val="zh-CN"/>
        </w:rPr>
      </w:pPr>
      <w:r>
        <w:rPr>
          <w:rFonts w:hint="eastAsia" w:ascii="宋体" w:hAnsi="宋体" w:cs="宋体"/>
          <w:b/>
          <w:sz w:val="32"/>
          <w:szCs w:val="32"/>
        </w:rPr>
        <w:t>法定代表人及代理人的身份证（复印件）</w:t>
      </w:r>
    </w:p>
    <w:p>
      <w:pPr>
        <w:pStyle w:val="148"/>
        <w:spacing w:line="360" w:lineRule="auto"/>
        <w:rPr>
          <w:rFonts w:hint="eastAsia" w:hAnsi="宋体" w:cs="宋体"/>
          <w:bCs/>
          <w:sz w:val="24"/>
          <w:lang w:eastAsia="zh-CN"/>
        </w:rPr>
      </w:pPr>
    </w:p>
    <w:p>
      <w:pPr>
        <w:pStyle w:val="148"/>
        <w:spacing w:line="360" w:lineRule="auto"/>
        <w:rPr>
          <w:rFonts w:hAnsi="宋体" w:cs="宋体"/>
          <w:bCs/>
          <w:sz w:val="24"/>
        </w:rPr>
      </w:pPr>
      <w:r>
        <w:rPr>
          <w:rFonts w:hint="eastAsia" w:hAnsi="宋体" w:cs="宋体"/>
          <w:bCs/>
          <w:sz w:val="24"/>
        </w:rPr>
        <w:t>法定代表人身份证件扫描件或复印件：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8495" w:type="dxa"/>
            <w:noWrap w:val="0"/>
            <w:vAlign w:val="top"/>
          </w:tcPr>
          <w:p>
            <w:pPr>
              <w:pStyle w:val="148"/>
              <w:spacing w:line="360" w:lineRule="auto"/>
              <w:rPr>
                <w:rFonts w:hAnsi="宋体" w:cs="宋体"/>
                <w:bCs/>
                <w:sz w:val="24"/>
              </w:rPr>
            </w:pPr>
            <w:r>
              <w:rPr>
                <w:rFonts w:hint="eastAsia" w:hAnsi="宋体" w:cs="宋体"/>
                <w:bCs/>
                <w:sz w:val="24"/>
              </w:rPr>
              <w:t>正面：                                 反面：</w:t>
            </w:r>
          </w:p>
          <w:p>
            <w:pPr>
              <w:pStyle w:val="148"/>
              <w:spacing w:line="360" w:lineRule="auto"/>
              <w:rPr>
                <w:rFonts w:hAnsi="宋体" w:cs="宋体"/>
                <w:bCs/>
                <w:sz w:val="24"/>
              </w:rPr>
            </w:pPr>
          </w:p>
        </w:tc>
      </w:tr>
    </w:tbl>
    <w:p>
      <w:pPr>
        <w:pStyle w:val="148"/>
        <w:spacing w:line="360" w:lineRule="auto"/>
        <w:rPr>
          <w:rFonts w:hAnsi="宋体" w:cs="宋体"/>
          <w:bCs/>
          <w:sz w:val="24"/>
        </w:rPr>
      </w:pPr>
      <w:r>
        <w:rPr>
          <w:rFonts w:hint="eastAsia" w:hAnsi="宋体" w:cs="宋体"/>
          <w:bCs/>
          <w:sz w:val="24"/>
          <w:lang w:eastAsia="zh-CN"/>
        </w:rPr>
        <w:t>代理人</w:t>
      </w:r>
      <w:r>
        <w:rPr>
          <w:rFonts w:hint="eastAsia" w:hAnsi="宋体" w:cs="宋体"/>
          <w:bCs/>
          <w:sz w:val="24"/>
        </w:rPr>
        <w:t>身份证件扫描件或复印件：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8495" w:type="dxa"/>
            <w:noWrap w:val="0"/>
            <w:vAlign w:val="top"/>
          </w:tcPr>
          <w:p>
            <w:pPr>
              <w:pStyle w:val="148"/>
              <w:spacing w:line="360" w:lineRule="auto"/>
              <w:rPr>
                <w:rFonts w:hAnsi="宋体" w:cs="宋体"/>
                <w:bCs/>
                <w:sz w:val="24"/>
              </w:rPr>
            </w:pPr>
            <w:r>
              <w:rPr>
                <w:rFonts w:hint="eastAsia" w:hAnsi="宋体" w:cs="宋体"/>
                <w:bCs/>
                <w:sz w:val="24"/>
              </w:rPr>
              <w:t>正面：                                 反面：</w:t>
            </w:r>
          </w:p>
          <w:p>
            <w:pPr>
              <w:pStyle w:val="148"/>
              <w:spacing w:line="360" w:lineRule="auto"/>
              <w:rPr>
                <w:rFonts w:hAnsi="宋体" w:cs="宋体"/>
                <w:bCs/>
                <w:sz w:val="24"/>
              </w:rPr>
            </w:pPr>
          </w:p>
        </w:tc>
      </w:tr>
    </w:tbl>
    <w:p>
      <w:pPr>
        <w:snapToGrid w:val="0"/>
        <w:ind w:right="480"/>
        <w:jc w:val="center"/>
        <w:rPr>
          <w:rFonts w:hint="eastAsia" w:ascii="宋体" w:hAnsi="宋体" w:cs="宋体"/>
          <w:b/>
          <w:kern w:val="0"/>
          <w:sz w:val="32"/>
          <w:szCs w:val="32"/>
          <w:lang w:val="zh-CN"/>
        </w:rPr>
      </w:pPr>
      <w:r>
        <w:rPr>
          <w:rFonts w:hint="eastAsia" w:ascii="宋体" w:hAnsi="宋体" w:cs="宋体"/>
          <w:b/>
          <w:kern w:val="0"/>
          <w:sz w:val="32"/>
          <w:szCs w:val="32"/>
          <w:lang w:val="zh-CN"/>
        </w:rPr>
        <w:br w:type="page"/>
      </w:r>
      <w:r>
        <w:rPr>
          <w:rFonts w:hint="eastAsia" w:ascii="宋体" w:hAnsi="宋体" w:cs="宋体"/>
          <w:b/>
          <w:kern w:val="0"/>
          <w:sz w:val="32"/>
          <w:szCs w:val="32"/>
          <w:lang w:val="zh-CN"/>
        </w:rPr>
        <w:t>投标声明书</w:t>
      </w:r>
    </w:p>
    <w:p>
      <w:pPr>
        <w:pStyle w:val="3"/>
        <w:numPr>
          <w:ilvl w:val="0"/>
          <w:numId w:val="0"/>
        </w:numPr>
        <w:rPr>
          <w:rFonts w:hint="eastAsia"/>
        </w:rPr>
      </w:pPr>
    </w:p>
    <w:p>
      <w:pPr>
        <w:snapToGrid w:val="0"/>
        <w:spacing w:line="360" w:lineRule="auto"/>
        <w:rPr>
          <w:rFonts w:hint="eastAsia" w:ascii="宋体" w:hAnsi="宋体" w:cs="宋体"/>
          <w:kern w:val="0"/>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r>
        <w:rPr>
          <w:rFonts w:hint="eastAsia" w:ascii="宋体" w:hAnsi="宋体" w:cs="宋体"/>
          <w:kern w:val="0"/>
          <w:sz w:val="24"/>
          <w:lang w:val="zh-CN"/>
        </w:rPr>
        <w:t>：</w:t>
      </w:r>
    </w:p>
    <w:p>
      <w:pPr>
        <w:snapToGrid w:val="0"/>
        <w:spacing w:line="360" w:lineRule="auto"/>
        <w:ind w:firstLine="480"/>
        <w:rPr>
          <w:rFonts w:hint="eastAsia" w:ascii="宋体" w:hAnsi="宋体" w:cs="宋体"/>
          <w:kern w:val="0"/>
          <w:sz w:val="24"/>
        </w:rPr>
      </w:pPr>
      <w:r>
        <w:rPr>
          <w:rFonts w:hint="eastAsia" w:ascii="宋体" w:hAnsi="宋体" w:cs="宋体"/>
          <w:kern w:val="0"/>
          <w:sz w:val="24"/>
          <w:lang w:val="zh-CN"/>
        </w:rPr>
        <w:t>本单位自愿参加</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采购项目</w:t>
      </w:r>
      <w:r>
        <w:rPr>
          <w:rFonts w:hint="eastAsia" w:ascii="宋体" w:hAnsi="宋体" w:cs="宋体"/>
          <w:kern w:val="0"/>
          <w:sz w:val="24"/>
          <w:lang w:val="zh-CN"/>
        </w:rPr>
        <w:t xml:space="preserve">(项目编号： </w:t>
      </w:r>
      <w:r>
        <w:rPr>
          <w:rFonts w:hint="eastAsia" w:ascii="宋体" w:hAnsi="宋体" w:cs="宋体"/>
          <w:kern w:val="0"/>
          <w:sz w:val="24"/>
          <w:u w:val="single"/>
          <w:lang w:val="zh-CN"/>
        </w:rPr>
        <w:t xml:space="preserve">       </w:t>
      </w:r>
      <w:r>
        <w:rPr>
          <w:rFonts w:hint="eastAsia" w:ascii="宋体" w:hAnsi="宋体" w:cs="宋体"/>
          <w:kern w:val="0"/>
          <w:sz w:val="24"/>
          <w:lang w:val="zh-CN"/>
        </w:rPr>
        <w:t>)的投标，并保证投标文件中所列举的投标报价文件及相关资料和公司基本情况资料是真实的、合法的。</w:t>
      </w:r>
    </w:p>
    <w:p>
      <w:pPr>
        <w:snapToGrid w:val="0"/>
        <w:spacing w:line="360" w:lineRule="auto"/>
        <w:ind w:firstLine="480"/>
        <w:rPr>
          <w:rFonts w:hint="eastAsia" w:ascii="宋体" w:hAnsi="宋体" w:cs="宋体"/>
          <w:kern w:val="0"/>
          <w:sz w:val="24"/>
        </w:rPr>
      </w:pPr>
      <w:r>
        <w:rPr>
          <w:rFonts w:hint="eastAsia" w:ascii="宋体" w:hAnsi="宋体" w:cs="宋体"/>
          <w:kern w:val="0"/>
          <w:sz w:val="24"/>
          <w:lang w:val="zh-CN"/>
        </w:rPr>
        <w:t>同意此次采购文件中的各项内容。</w:t>
      </w:r>
    </w:p>
    <w:p>
      <w:pPr>
        <w:snapToGrid w:val="0"/>
        <w:spacing w:line="360" w:lineRule="auto"/>
        <w:ind w:firstLine="480"/>
        <w:rPr>
          <w:rFonts w:hint="eastAsia" w:ascii="宋体" w:hAnsi="宋体" w:cs="宋体"/>
          <w:kern w:val="0"/>
          <w:sz w:val="24"/>
        </w:rPr>
      </w:pPr>
      <w:r>
        <w:rPr>
          <w:rFonts w:hint="eastAsia" w:ascii="宋体" w:hAnsi="宋体" w:cs="宋体"/>
          <w:kern w:val="0"/>
          <w:sz w:val="24"/>
          <w:lang w:val="zh-CN"/>
        </w:rPr>
        <w:t>同意提供按照贵方可能要求的与投标有关的一切数据或资料等。</w:t>
      </w:r>
    </w:p>
    <w:p>
      <w:pPr>
        <w:snapToGrid w:val="0"/>
        <w:spacing w:line="360" w:lineRule="auto"/>
        <w:ind w:firstLine="480"/>
        <w:rPr>
          <w:rFonts w:hint="eastAsia" w:ascii="宋体" w:hAnsi="宋体" w:cs="宋体"/>
          <w:kern w:val="0"/>
          <w:sz w:val="24"/>
        </w:rPr>
      </w:pPr>
      <w:r>
        <w:rPr>
          <w:rFonts w:hint="eastAsia" w:ascii="宋体" w:hAnsi="宋体" w:cs="宋体"/>
          <w:kern w:val="0"/>
          <w:sz w:val="24"/>
          <w:lang w:val="zh-CN"/>
        </w:rPr>
        <w:t>本单位如中标，保证按照投标文件的承诺与贵方签订合同，保证履行合同条款并按规定缴纳履约保证金（</w:t>
      </w:r>
      <w:r>
        <w:rPr>
          <w:rFonts w:hint="eastAsia" w:ascii="宋体" w:hAnsi="宋体" w:cs="宋体"/>
          <w:kern w:val="0"/>
          <w:sz w:val="24"/>
        </w:rPr>
        <w:t>如需</w:t>
      </w:r>
      <w:r>
        <w:rPr>
          <w:rFonts w:hint="eastAsia" w:ascii="宋体" w:hAnsi="宋体" w:cs="宋体"/>
          <w:kern w:val="0"/>
          <w:sz w:val="24"/>
          <w:lang w:val="zh-CN"/>
        </w:rPr>
        <w:t>）。</w:t>
      </w:r>
    </w:p>
    <w:p>
      <w:pPr>
        <w:snapToGrid w:val="0"/>
        <w:spacing w:line="360" w:lineRule="auto"/>
        <w:rPr>
          <w:rFonts w:hint="eastAsia" w:ascii="宋体" w:hAnsi="宋体" w:cs="宋体"/>
          <w:kern w:val="0"/>
          <w:sz w:val="24"/>
          <w:lang w:val="zh-CN"/>
        </w:rPr>
      </w:pPr>
    </w:p>
    <w:p>
      <w:pPr>
        <w:snapToGrid w:val="0"/>
        <w:spacing w:line="360" w:lineRule="auto"/>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b/>
          <w:bCs/>
        </w:rPr>
      </w:pPr>
      <w:r>
        <w:rPr>
          <w:rFonts w:hint="eastAsia" w:ascii="宋体" w:hAnsi="宋体" w:cs="宋体"/>
          <w:kern w:val="0"/>
          <w:sz w:val="24"/>
        </w:rPr>
        <w:t>日期：  年  月   日</w:t>
      </w:r>
    </w:p>
    <w:p>
      <w:pPr>
        <w:autoSpaceDE w:val="0"/>
        <w:autoSpaceDN w:val="0"/>
        <w:spacing w:line="360" w:lineRule="auto"/>
        <w:rPr>
          <w:rFonts w:hint="eastAsia" w:ascii="宋体" w:hAnsi="宋体" w:cs="宋体"/>
          <w:sz w:val="24"/>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snapToGrid w:val="0"/>
        <w:ind w:right="480"/>
        <w:jc w:val="center"/>
        <w:rPr>
          <w:rFonts w:hint="eastAsia" w:ascii="宋体" w:hAnsi="宋体" w:cs="宋体"/>
          <w:b/>
          <w:kern w:val="0"/>
          <w:sz w:val="32"/>
          <w:szCs w:val="32"/>
          <w:lang w:val="zh-CN"/>
        </w:rPr>
      </w:pPr>
      <w:r>
        <w:rPr>
          <w:rFonts w:hint="eastAsia" w:ascii="宋体" w:hAnsi="宋体" w:cs="宋体"/>
          <w:b/>
          <w:kern w:val="0"/>
          <w:sz w:val="32"/>
          <w:szCs w:val="32"/>
          <w:lang w:val="zh-CN"/>
        </w:rPr>
        <w:t>类似案例成功的业绩</w:t>
      </w:r>
    </w:p>
    <w:p>
      <w:pPr>
        <w:pStyle w:val="3"/>
        <w:numPr>
          <w:ilvl w:val="0"/>
          <w:numId w:val="0"/>
        </w:numPr>
        <w:rPr>
          <w:rFonts w:hint="eastAsia"/>
        </w:rPr>
      </w:pPr>
    </w:p>
    <w:p>
      <w:pPr>
        <w:autoSpaceDE w:val="0"/>
        <w:autoSpaceDN w:val="0"/>
        <w:spacing w:line="360" w:lineRule="auto"/>
        <w:ind w:firstLine="120"/>
        <w:rPr>
          <w:rFonts w:ascii="宋体" w:hAnsi="宋体" w:cs="宋体"/>
          <w:b/>
          <w:sz w:val="24"/>
        </w:rPr>
      </w:pPr>
      <w:r>
        <w:rPr>
          <w:rFonts w:hint="eastAsia" w:ascii="宋体" w:hAnsi="宋体" w:cs="宋体"/>
          <w:b/>
          <w:sz w:val="24"/>
        </w:rPr>
        <w:t>附表 :相关业绩一览表</w:t>
      </w:r>
    </w:p>
    <w:tbl>
      <w:tblPr>
        <w:tblStyle w:val="60"/>
        <w:tblpPr w:leftFromText="180" w:rightFromText="180" w:vertAnchor="text" w:tblpXSpec="center" w:tblpY="1"/>
        <w:tblOverlap w:val="never"/>
        <w:tblW w:w="10074"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808"/>
        <w:gridCol w:w="1800"/>
        <w:gridCol w:w="1542"/>
        <w:gridCol w:w="2121"/>
        <w:gridCol w:w="180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60" w:hRule="atLeast"/>
        </w:trPr>
        <w:tc>
          <w:tcPr>
            <w:tcW w:w="2808" w:type="dxa"/>
            <w:noWrap w:val="0"/>
            <w:vAlign w:val="center"/>
          </w:tcPr>
          <w:p>
            <w:pPr>
              <w:spacing w:line="400" w:lineRule="atLeast"/>
              <w:jc w:val="center"/>
              <w:rPr>
                <w:rFonts w:ascii="宋体" w:hAnsi="宋体" w:cs="宋体"/>
                <w:szCs w:val="21"/>
              </w:rPr>
            </w:pPr>
            <w:r>
              <w:rPr>
                <w:rFonts w:hint="eastAsia" w:ascii="宋体" w:hAnsi="宋体" w:cs="宋体"/>
                <w:szCs w:val="21"/>
              </w:rPr>
              <w:t>项目名称</w:t>
            </w:r>
          </w:p>
        </w:tc>
        <w:tc>
          <w:tcPr>
            <w:tcW w:w="1800" w:type="dxa"/>
            <w:noWrap w:val="0"/>
            <w:vAlign w:val="center"/>
          </w:tcPr>
          <w:p>
            <w:pPr>
              <w:spacing w:line="400" w:lineRule="atLeast"/>
              <w:jc w:val="center"/>
              <w:rPr>
                <w:rFonts w:ascii="宋体" w:hAnsi="宋体" w:cs="宋体"/>
                <w:szCs w:val="21"/>
              </w:rPr>
            </w:pPr>
            <w:r>
              <w:rPr>
                <w:rFonts w:hint="eastAsia" w:ascii="宋体" w:hAnsi="宋体" w:cs="宋体"/>
                <w:szCs w:val="21"/>
              </w:rPr>
              <w:t>业绩数量及金额</w:t>
            </w:r>
          </w:p>
        </w:tc>
        <w:tc>
          <w:tcPr>
            <w:tcW w:w="1542" w:type="dxa"/>
            <w:noWrap w:val="0"/>
            <w:vAlign w:val="center"/>
          </w:tcPr>
          <w:p>
            <w:pPr>
              <w:spacing w:line="400" w:lineRule="atLeast"/>
              <w:jc w:val="center"/>
              <w:rPr>
                <w:rFonts w:ascii="宋体" w:hAnsi="宋体" w:cs="宋体"/>
                <w:szCs w:val="21"/>
              </w:rPr>
            </w:pPr>
            <w:r>
              <w:rPr>
                <w:rFonts w:hint="eastAsia" w:ascii="宋体" w:hAnsi="宋体" w:cs="宋体"/>
                <w:szCs w:val="21"/>
              </w:rPr>
              <w:t>业主单位全称</w:t>
            </w:r>
          </w:p>
        </w:tc>
        <w:tc>
          <w:tcPr>
            <w:tcW w:w="2121" w:type="dxa"/>
            <w:noWrap w:val="0"/>
            <w:vAlign w:val="center"/>
          </w:tcPr>
          <w:p>
            <w:pPr>
              <w:spacing w:line="400" w:lineRule="atLeast"/>
              <w:jc w:val="center"/>
              <w:rPr>
                <w:rFonts w:ascii="宋体" w:hAnsi="宋体" w:cs="宋体"/>
                <w:szCs w:val="21"/>
              </w:rPr>
            </w:pPr>
            <w:r>
              <w:rPr>
                <w:rFonts w:hint="eastAsia" w:ascii="宋体" w:hAnsi="宋体" w:cs="宋体"/>
                <w:szCs w:val="21"/>
              </w:rPr>
              <w:t>业主单位联系人电话</w:t>
            </w:r>
          </w:p>
        </w:tc>
        <w:tc>
          <w:tcPr>
            <w:tcW w:w="1803" w:type="dxa"/>
            <w:noWrap w:val="0"/>
            <w:vAlign w:val="center"/>
          </w:tcPr>
          <w:p>
            <w:pPr>
              <w:tabs>
                <w:tab w:val="left" w:pos="692"/>
              </w:tabs>
              <w:spacing w:line="400" w:lineRule="atLeast"/>
              <w:ind w:left="210" w:hanging="210" w:hangingChars="100"/>
              <w:jc w:val="center"/>
              <w:rPr>
                <w:rFonts w:ascii="宋体" w:hAnsi="宋体" w:cs="宋体"/>
                <w:b/>
                <w:szCs w:val="21"/>
                <w:u w:val="thick"/>
              </w:rPr>
            </w:pPr>
            <w:r>
              <w:rPr>
                <w:rFonts w:hint="eastAsia" w:ascii="宋体" w:hAnsi="宋体" w:cs="宋体"/>
                <w:szCs w:val="21"/>
              </w:rPr>
              <w:t>合同签订时间</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60" w:hRule="atLeast"/>
        </w:trPr>
        <w:tc>
          <w:tcPr>
            <w:tcW w:w="2808" w:type="dxa"/>
            <w:noWrap w:val="0"/>
            <w:vAlign w:val="top"/>
          </w:tcPr>
          <w:p>
            <w:pPr>
              <w:spacing w:line="400" w:lineRule="atLeast"/>
              <w:jc w:val="center"/>
              <w:rPr>
                <w:rFonts w:ascii="宋体" w:hAnsi="宋体" w:cs="宋体"/>
                <w:szCs w:val="21"/>
              </w:rPr>
            </w:pPr>
          </w:p>
        </w:tc>
        <w:tc>
          <w:tcPr>
            <w:tcW w:w="1800" w:type="dxa"/>
            <w:noWrap w:val="0"/>
            <w:vAlign w:val="top"/>
          </w:tcPr>
          <w:p>
            <w:pPr>
              <w:spacing w:line="400" w:lineRule="atLeast"/>
              <w:jc w:val="center"/>
              <w:rPr>
                <w:rFonts w:ascii="宋体" w:hAnsi="宋体" w:cs="宋体"/>
                <w:szCs w:val="21"/>
              </w:rPr>
            </w:pPr>
          </w:p>
        </w:tc>
        <w:tc>
          <w:tcPr>
            <w:tcW w:w="1542" w:type="dxa"/>
            <w:noWrap w:val="0"/>
            <w:vAlign w:val="top"/>
          </w:tcPr>
          <w:p>
            <w:pPr>
              <w:spacing w:line="400" w:lineRule="atLeast"/>
              <w:jc w:val="center"/>
              <w:rPr>
                <w:rFonts w:ascii="宋体" w:hAnsi="宋体" w:cs="宋体"/>
                <w:szCs w:val="21"/>
              </w:rPr>
            </w:pPr>
          </w:p>
        </w:tc>
        <w:tc>
          <w:tcPr>
            <w:tcW w:w="2121" w:type="dxa"/>
            <w:noWrap w:val="0"/>
            <w:vAlign w:val="top"/>
          </w:tcPr>
          <w:p>
            <w:pPr>
              <w:spacing w:line="400" w:lineRule="atLeast"/>
              <w:jc w:val="center"/>
              <w:rPr>
                <w:rFonts w:ascii="宋体" w:hAnsi="宋体" w:cs="宋体"/>
                <w:szCs w:val="21"/>
              </w:rPr>
            </w:pPr>
          </w:p>
        </w:tc>
        <w:tc>
          <w:tcPr>
            <w:tcW w:w="1803" w:type="dxa"/>
            <w:noWrap w:val="0"/>
            <w:vAlign w:val="top"/>
          </w:tcPr>
          <w:p>
            <w:pPr>
              <w:spacing w:line="4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60" w:hRule="atLeast"/>
        </w:trPr>
        <w:tc>
          <w:tcPr>
            <w:tcW w:w="2808" w:type="dxa"/>
            <w:noWrap w:val="0"/>
            <w:vAlign w:val="top"/>
          </w:tcPr>
          <w:p>
            <w:pPr>
              <w:spacing w:line="400" w:lineRule="atLeast"/>
              <w:jc w:val="center"/>
              <w:rPr>
                <w:rFonts w:ascii="宋体" w:hAnsi="宋体" w:cs="宋体"/>
                <w:szCs w:val="21"/>
              </w:rPr>
            </w:pPr>
          </w:p>
        </w:tc>
        <w:tc>
          <w:tcPr>
            <w:tcW w:w="1800" w:type="dxa"/>
            <w:noWrap w:val="0"/>
            <w:vAlign w:val="top"/>
          </w:tcPr>
          <w:p>
            <w:pPr>
              <w:spacing w:line="400" w:lineRule="atLeast"/>
              <w:jc w:val="center"/>
              <w:rPr>
                <w:rFonts w:ascii="宋体" w:hAnsi="宋体" w:cs="宋体"/>
                <w:szCs w:val="21"/>
              </w:rPr>
            </w:pPr>
          </w:p>
        </w:tc>
        <w:tc>
          <w:tcPr>
            <w:tcW w:w="1542" w:type="dxa"/>
            <w:noWrap w:val="0"/>
            <w:vAlign w:val="top"/>
          </w:tcPr>
          <w:p>
            <w:pPr>
              <w:spacing w:line="400" w:lineRule="atLeast"/>
              <w:jc w:val="center"/>
              <w:rPr>
                <w:rFonts w:ascii="宋体" w:hAnsi="宋体" w:cs="宋体"/>
                <w:szCs w:val="21"/>
              </w:rPr>
            </w:pPr>
          </w:p>
        </w:tc>
        <w:tc>
          <w:tcPr>
            <w:tcW w:w="2121" w:type="dxa"/>
            <w:noWrap w:val="0"/>
            <w:vAlign w:val="top"/>
          </w:tcPr>
          <w:p>
            <w:pPr>
              <w:spacing w:line="400" w:lineRule="atLeast"/>
              <w:jc w:val="center"/>
              <w:rPr>
                <w:rFonts w:ascii="宋体" w:hAnsi="宋体" w:cs="宋体"/>
                <w:szCs w:val="21"/>
              </w:rPr>
            </w:pPr>
          </w:p>
        </w:tc>
        <w:tc>
          <w:tcPr>
            <w:tcW w:w="1803" w:type="dxa"/>
            <w:noWrap w:val="0"/>
            <w:vAlign w:val="top"/>
          </w:tcPr>
          <w:p>
            <w:pPr>
              <w:spacing w:line="4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60" w:hRule="atLeast"/>
        </w:trPr>
        <w:tc>
          <w:tcPr>
            <w:tcW w:w="2808" w:type="dxa"/>
            <w:noWrap w:val="0"/>
            <w:vAlign w:val="top"/>
          </w:tcPr>
          <w:p>
            <w:pPr>
              <w:spacing w:line="400" w:lineRule="atLeast"/>
              <w:jc w:val="center"/>
              <w:rPr>
                <w:rFonts w:ascii="宋体" w:hAnsi="宋体" w:cs="宋体"/>
                <w:szCs w:val="21"/>
              </w:rPr>
            </w:pPr>
          </w:p>
        </w:tc>
        <w:tc>
          <w:tcPr>
            <w:tcW w:w="1800" w:type="dxa"/>
            <w:noWrap w:val="0"/>
            <w:vAlign w:val="top"/>
          </w:tcPr>
          <w:p>
            <w:pPr>
              <w:spacing w:line="400" w:lineRule="atLeast"/>
              <w:jc w:val="center"/>
              <w:rPr>
                <w:rFonts w:ascii="宋体" w:hAnsi="宋体" w:cs="宋体"/>
                <w:szCs w:val="21"/>
              </w:rPr>
            </w:pPr>
          </w:p>
        </w:tc>
        <w:tc>
          <w:tcPr>
            <w:tcW w:w="1542" w:type="dxa"/>
            <w:noWrap w:val="0"/>
            <w:vAlign w:val="top"/>
          </w:tcPr>
          <w:p>
            <w:pPr>
              <w:spacing w:line="400" w:lineRule="atLeast"/>
              <w:jc w:val="center"/>
              <w:rPr>
                <w:rFonts w:ascii="宋体" w:hAnsi="宋体" w:cs="宋体"/>
                <w:szCs w:val="21"/>
              </w:rPr>
            </w:pPr>
          </w:p>
        </w:tc>
        <w:tc>
          <w:tcPr>
            <w:tcW w:w="2121" w:type="dxa"/>
            <w:noWrap w:val="0"/>
            <w:vAlign w:val="top"/>
          </w:tcPr>
          <w:p>
            <w:pPr>
              <w:spacing w:line="400" w:lineRule="atLeast"/>
              <w:jc w:val="center"/>
              <w:rPr>
                <w:rFonts w:ascii="宋体" w:hAnsi="宋体" w:cs="宋体"/>
                <w:szCs w:val="21"/>
              </w:rPr>
            </w:pPr>
          </w:p>
        </w:tc>
        <w:tc>
          <w:tcPr>
            <w:tcW w:w="1803" w:type="dxa"/>
            <w:noWrap w:val="0"/>
            <w:vAlign w:val="top"/>
          </w:tcPr>
          <w:p>
            <w:pPr>
              <w:spacing w:line="400" w:lineRule="atLeas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60" w:hRule="atLeast"/>
        </w:trPr>
        <w:tc>
          <w:tcPr>
            <w:tcW w:w="2808" w:type="dxa"/>
            <w:noWrap w:val="0"/>
            <w:vAlign w:val="top"/>
          </w:tcPr>
          <w:p>
            <w:pPr>
              <w:spacing w:line="400" w:lineRule="atLeast"/>
              <w:jc w:val="center"/>
              <w:rPr>
                <w:rFonts w:ascii="宋体" w:hAnsi="宋体" w:cs="宋体"/>
                <w:szCs w:val="21"/>
              </w:rPr>
            </w:pPr>
          </w:p>
        </w:tc>
        <w:tc>
          <w:tcPr>
            <w:tcW w:w="1800" w:type="dxa"/>
            <w:noWrap w:val="0"/>
            <w:vAlign w:val="top"/>
          </w:tcPr>
          <w:p>
            <w:pPr>
              <w:spacing w:line="400" w:lineRule="atLeast"/>
              <w:jc w:val="center"/>
              <w:rPr>
                <w:rFonts w:ascii="宋体" w:hAnsi="宋体" w:cs="宋体"/>
                <w:szCs w:val="21"/>
              </w:rPr>
            </w:pPr>
          </w:p>
        </w:tc>
        <w:tc>
          <w:tcPr>
            <w:tcW w:w="1542" w:type="dxa"/>
            <w:noWrap w:val="0"/>
            <w:vAlign w:val="top"/>
          </w:tcPr>
          <w:p>
            <w:pPr>
              <w:spacing w:line="400" w:lineRule="atLeast"/>
              <w:jc w:val="center"/>
              <w:rPr>
                <w:rFonts w:ascii="宋体" w:hAnsi="宋体" w:cs="宋体"/>
                <w:szCs w:val="21"/>
              </w:rPr>
            </w:pPr>
          </w:p>
        </w:tc>
        <w:tc>
          <w:tcPr>
            <w:tcW w:w="2121" w:type="dxa"/>
            <w:noWrap w:val="0"/>
            <w:vAlign w:val="top"/>
          </w:tcPr>
          <w:p>
            <w:pPr>
              <w:spacing w:line="400" w:lineRule="atLeast"/>
              <w:jc w:val="center"/>
              <w:rPr>
                <w:rFonts w:ascii="宋体" w:hAnsi="宋体" w:cs="宋体"/>
                <w:szCs w:val="21"/>
              </w:rPr>
            </w:pPr>
          </w:p>
        </w:tc>
        <w:tc>
          <w:tcPr>
            <w:tcW w:w="1803" w:type="dxa"/>
            <w:noWrap w:val="0"/>
            <w:vAlign w:val="top"/>
          </w:tcPr>
          <w:p>
            <w:pPr>
              <w:spacing w:line="400" w:lineRule="atLeast"/>
              <w:jc w:val="center"/>
              <w:rPr>
                <w:rFonts w:ascii="宋体" w:hAnsi="宋体" w:cs="宋体"/>
                <w:szCs w:val="21"/>
              </w:rPr>
            </w:pPr>
          </w:p>
        </w:tc>
      </w:tr>
    </w:tbl>
    <w:p>
      <w:pPr>
        <w:spacing w:line="480" w:lineRule="exact"/>
        <w:rPr>
          <w:rFonts w:ascii="宋体" w:hAnsi="宋体" w:cs="宋体"/>
          <w:sz w:val="24"/>
        </w:rPr>
      </w:pPr>
      <w:r>
        <w:rPr>
          <w:rFonts w:hint="eastAsia" w:ascii="宋体" w:hAnsi="宋体" w:cs="宋体"/>
          <w:b/>
          <w:sz w:val="24"/>
        </w:rPr>
        <w:t>注：</w:t>
      </w:r>
      <w:r>
        <w:rPr>
          <w:rFonts w:hint="eastAsia" w:ascii="宋体" w:hAnsi="宋体" w:cs="宋体"/>
          <w:kern w:val="0"/>
          <w:sz w:val="24"/>
          <w:lang w:val="zh-CN"/>
        </w:rPr>
        <w:t>投标人可按上述的格式自行编制（</w:t>
      </w:r>
      <w:r>
        <w:rPr>
          <w:rFonts w:hint="eastAsia" w:ascii="宋体" w:hAnsi="宋体" w:cs="宋体"/>
          <w:kern w:val="0"/>
          <w:sz w:val="24"/>
        </w:rPr>
        <w:t>可根据自身情况稍作修改</w:t>
      </w:r>
      <w:r>
        <w:rPr>
          <w:rFonts w:hint="eastAsia" w:ascii="宋体" w:hAnsi="宋体" w:cs="宋体"/>
          <w:kern w:val="0"/>
          <w:sz w:val="24"/>
          <w:lang w:val="zh-CN"/>
        </w:rPr>
        <w:t>），</w:t>
      </w:r>
      <w:r>
        <w:rPr>
          <w:rFonts w:hint="eastAsia" w:ascii="宋体" w:hAnsi="宋体" w:cs="宋体"/>
          <w:kern w:val="0"/>
          <w:sz w:val="24"/>
        </w:rPr>
        <w:t>相关合同材料附后</w:t>
      </w:r>
      <w:r>
        <w:rPr>
          <w:rFonts w:hint="eastAsia" w:ascii="宋体" w:hAnsi="宋体" w:cs="宋体"/>
          <w:kern w:val="0"/>
          <w:sz w:val="24"/>
          <w:lang w:val="zh-CN"/>
        </w:rPr>
        <w:t>。</w:t>
      </w:r>
    </w:p>
    <w:p>
      <w:pPr>
        <w:snapToGrid w:val="0"/>
        <w:spacing w:line="360" w:lineRule="auto"/>
        <w:jc w:val="center"/>
        <w:rPr>
          <w:rFonts w:hint="eastAsia" w:ascii="宋体" w:hAnsi="宋体" w:cs="宋体"/>
          <w:kern w:val="0"/>
          <w:sz w:val="24"/>
        </w:rPr>
      </w:pPr>
      <w:r>
        <w:rPr>
          <w:rFonts w:hint="eastAsia" w:ascii="宋体" w:hAnsi="宋体" w:cs="宋体"/>
          <w:kern w:val="0"/>
          <w:sz w:val="24"/>
        </w:rPr>
        <w:t xml:space="preserve">                                </w:t>
      </w:r>
    </w:p>
    <w:p>
      <w:pPr>
        <w:snapToGrid w:val="0"/>
        <w:spacing w:line="360" w:lineRule="auto"/>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b/>
          <w:bCs/>
        </w:rPr>
      </w:pPr>
      <w:r>
        <w:rPr>
          <w:rFonts w:hint="eastAsia" w:ascii="宋体" w:hAnsi="宋体" w:cs="宋体"/>
          <w:kern w:val="0"/>
          <w:sz w:val="24"/>
        </w:rPr>
        <w:t>日期：  年  月   日</w:t>
      </w: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autoSpaceDE w:val="0"/>
        <w:autoSpaceDN w:val="0"/>
        <w:jc w:val="center"/>
        <w:rPr>
          <w:rFonts w:hint="eastAsia" w:ascii="宋体" w:hAnsi="宋体" w:cs="宋体"/>
          <w:sz w:val="72"/>
          <w:szCs w:val="72"/>
          <w:lang w:val="zh-CN"/>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ind w:firstLine="602" w:firstLineChars="200"/>
        <w:jc w:val="center"/>
        <w:rPr>
          <w:rFonts w:hint="eastAsia" w:ascii="宋体" w:hAnsi="宋体" w:cs="宋体"/>
        </w:rPr>
      </w:pPr>
      <w:r>
        <w:rPr>
          <w:rFonts w:hint="eastAsia" w:ascii="宋体" w:hAnsi="宋体" w:cs="宋体"/>
          <w:b/>
          <w:kern w:val="0"/>
          <w:sz w:val="30"/>
          <w:szCs w:val="30"/>
        </w:rPr>
        <w:t>投标</w:t>
      </w:r>
      <w:r>
        <w:rPr>
          <w:rFonts w:hint="eastAsia" w:ascii="宋体" w:hAnsi="宋体" w:cs="宋体"/>
          <w:b/>
          <w:sz w:val="30"/>
          <w:szCs w:val="30"/>
        </w:rPr>
        <w:t>函</w:t>
      </w:r>
    </w:p>
    <w:p>
      <w:pPr>
        <w:spacing w:line="360" w:lineRule="auto"/>
        <w:rPr>
          <w:rFonts w:hint="eastAsia" w:ascii="宋体" w:hAnsi="宋体" w:cs="宋体"/>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p>
    <w:p>
      <w:pPr>
        <w:spacing w:line="360" w:lineRule="auto"/>
        <w:ind w:firstLine="480" w:firstLineChars="200"/>
        <w:rPr>
          <w:rFonts w:hint="eastAsia" w:ascii="宋体" w:hAnsi="宋体" w:cs="宋体"/>
          <w:sz w:val="24"/>
        </w:rPr>
      </w:pPr>
      <w:r>
        <w:rPr>
          <w:rFonts w:hint="eastAsia" w:ascii="宋体" w:hAnsi="宋体" w:cs="宋体"/>
          <w:sz w:val="24"/>
        </w:rPr>
        <w:t xml:space="preserve"> </w:t>
      </w:r>
      <w:r>
        <w:rPr>
          <w:rFonts w:hint="eastAsia" w:ascii="宋体" w:hAnsi="宋体" w:cs="宋体"/>
          <w:kern w:val="0"/>
          <w:sz w:val="24"/>
          <w:u w:val="single"/>
          <w:lang w:val="zh-CN"/>
        </w:rPr>
        <w:t xml:space="preserve">      </w:t>
      </w:r>
      <w:r>
        <w:rPr>
          <w:rFonts w:hint="eastAsia" w:ascii="宋体" w:hAnsi="宋体" w:cs="宋体"/>
          <w:sz w:val="24"/>
          <w:u w:val="single"/>
        </w:rPr>
        <w:t xml:space="preserve">(供应商全称)    </w:t>
      </w:r>
      <w:r>
        <w:rPr>
          <w:rFonts w:hint="eastAsia" w:ascii="宋体" w:hAnsi="宋体" w:cs="宋体"/>
          <w:sz w:val="24"/>
        </w:rPr>
        <w:t>授权</w:t>
      </w:r>
      <w:r>
        <w:rPr>
          <w:rFonts w:hint="eastAsia" w:ascii="宋体" w:hAnsi="宋体" w:cs="宋体"/>
          <w:kern w:val="0"/>
          <w:sz w:val="24"/>
          <w:u w:val="single"/>
          <w:lang w:val="zh-CN"/>
        </w:rPr>
        <w:t xml:space="preserve">                </w:t>
      </w:r>
      <w:r>
        <w:rPr>
          <w:rFonts w:hint="eastAsia" w:ascii="宋体" w:hAnsi="宋体" w:cs="宋体"/>
          <w:sz w:val="24"/>
          <w:u w:val="single"/>
        </w:rPr>
        <w:t>(全权代表姓名)</w:t>
      </w:r>
      <w:r>
        <w:rPr>
          <w:rFonts w:hint="eastAsia" w:ascii="宋体" w:hAnsi="宋体" w:cs="宋体"/>
          <w:kern w:val="0"/>
          <w:sz w:val="24"/>
          <w:u w:val="single"/>
          <w:lang w:val="zh-CN"/>
        </w:rPr>
        <w:t xml:space="preserve">          </w:t>
      </w:r>
      <w:r>
        <w:rPr>
          <w:rFonts w:hint="eastAsia" w:ascii="宋体" w:hAnsi="宋体" w:cs="宋体"/>
          <w:sz w:val="24"/>
        </w:rPr>
        <w:t>(职务、职称)为全权代表，参加贵方组织的</w:t>
      </w:r>
      <w:r>
        <w:rPr>
          <w:rFonts w:hint="eastAsia" w:ascii="宋体" w:hAnsi="宋体" w:cs="宋体"/>
          <w:sz w:val="24"/>
          <w:u w:val="single"/>
        </w:rPr>
        <w:t xml:space="preserve">            （采购项目) </w:t>
      </w:r>
      <w:r>
        <w:rPr>
          <w:rFonts w:hint="eastAsia" w:ascii="宋体" w:hAnsi="宋体" w:cs="宋体"/>
          <w:sz w:val="24"/>
        </w:rPr>
        <w:t>(项目编号：</w:t>
      </w:r>
      <w:r>
        <w:rPr>
          <w:rFonts w:hint="eastAsia" w:ascii="宋体" w:hAnsi="宋体" w:cs="宋体"/>
          <w:kern w:val="0"/>
          <w:sz w:val="24"/>
          <w:u w:val="single"/>
          <w:lang w:val="zh-CN"/>
        </w:rPr>
        <w:t xml:space="preserve">       </w:t>
      </w:r>
      <w:r>
        <w:rPr>
          <w:rFonts w:hint="eastAsia" w:ascii="宋体" w:hAnsi="宋体" w:cs="宋体"/>
          <w:sz w:val="24"/>
        </w:rPr>
        <w:t>)，并对此项目进行投标。为此：</w:t>
      </w:r>
    </w:p>
    <w:p>
      <w:pPr>
        <w:spacing w:line="360" w:lineRule="auto"/>
        <w:ind w:firstLine="480" w:firstLineChars="200"/>
        <w:rPr>
          <w:rFonts w:hint="eastAsia" w:ascii="宋体" w:hAnsi="宋体" w:cs="宋体"/>
          <w:sz w:val="24"/>
        </w:rPr>
      </w:pPr>
      <w:r>
        <w:rPr>
          <w:rFonts w:hint="eastAsia" w:ascii="宋体" w:hAnsi="宋体" w:cs="宋体"/>
          <w:sz w:val="24"/>
        </w:rPr>
        <w:t>1、我方同意在供应商</w:t>
      </w:r>
      <w:r>
        <w:rPr>
          <w:rFonts w:hint="eastAsia" w:ascii="宋体" w:hAnsi="宋体" w:cs="宋体"/>
          <w:bCs/>
          <w:kern w:val="44"/>
          <w:sz w:val="24"/>
        </w:rPr>
        <w:t>须知</w:t>
      </w:r>
      <w:r>
        <w:rPr>
          <w:rFonts w:hint="eastAsia" w:ascii="宋体" w:hAnsi="宋体" w:cs="宋体"/>
          <w:sz w:val="24"/>
        </w:rPr>
        <w:t>规定的开标日期起遵守本投标文件中的承诺且在投标有效期满之前均具有约束力。</w:t>
      </w:r>
    </w:p>
    <w:p>
      <w:pPr>
        <w:spacing w:line="360" w:lineRule="auto"/>
        <w:ind w:firstLine="480" w:firstLineChars="200"/>
        <w:rPr>
          <w:rFonts w:hint="eastAsia" w:ascii="宋体" w:hAnsi="宋体" w:cs="宋体"/>
          <w:sz w:val="24"/>
        </w:rPr>
      </w:pPr>
      <w:r>
        <w:rPr>
          <w:rFonts w:hint="eastAsia" w:ascii="宋体" w:hAnsi="宋体" w:cs="宋体"/>
          <w:sz w:val="24"/>
        </w:rPr>
        <w:t>2、我方承诺已经具备《中华人民共和国政府采购法》中规定的参加政府采购活动的供应商应当具备的条件：</w:t>
      </w:r>
    </w:p>
    <w:p>
      <w:pPr>
        <w:spacing w:line="360" w:lineRule="auto"/>
        <w:ind w:firstLine="480" w:firstLineChars="200"/>
        <w:rPr>
          <w:rFonts w:hint="eastAsia" w:ascii="宋体" w:hAnsi="宋体" w:cs="宋体"/>
          <w:sz w:val="24"/>
        </w:rPr>
      </w:pPr>
      <w:r>
        <w:rPr>
          <w:rFonts w:hint="eastAsia" w:ascii="宋体" w:hAnsi="宋体" w:cs="宋体"/>
          <w:sz w:val="24"/>
        </w:rPr>
        <w:t>（1）具有独立承担民事责任的能力；</w:t>
      </w:r>
    </w:p>
    <w:p>
      <w:pPr>
        <w:spacing w:line="360" w:lineRule="auto"/>
        <w:ind w:firstLine="480" w:firstLineChars="200"/>
        <w:rPr>
          <w:rFonts w:hint="eastAsia" w:ascii="宋体" w:hAnsi="宋体" w:cs="宋体"/>
          <w:sz w:val="24"/>
        </w:rPr>
      </w:pPr>
      <w:r>
        <w:rPr>
          <w:rFonts w:hint="eastAsia" w:ascii="宋体" w:hAnsi="宋体" w:cs="宋体"/>
          <w:sz w:val="24"/>
        </w:rPr>
        <w:t>（2）遵守国家法律、行政法规，具有良好的信誉和商业道德；</w:t>
      </w:r>
    </w:p>
    <w:p>
      <w:pPr>
        <w:spacing w:line="360" w:lineRule="auto"/>
        <w:ind w:firstLine="480" w:firstLineChars="200"/>
        <w:rPr>
          <w:rFonts w:hint="eastAsia" w:ascii="宋体" w:hAnsi="宋体" w:cs="宋体"/>
          <w:sz w:val="24"/>
        </w:rPr>
      </w:pPr>
      <w:r>
        <w:rPr>
          <w:rFonts w:hint="eastAsia" w:ascii="宋体" w:hAnsi="宋体" w:cs="宋体"/>
          <w:sz w:val="24"/>
        </w:rPr>
        <w:t>（3）具有履行合同的能力和良好的履行合同记录；</w:t>
      </w:r>
    </w:p>
    <w:p>
      <w:pPr>
        <w:spacing w:line="360" w:lineRule="auto"/>
        <w:ind w:firstLine="480" w:firstLineChars="200"/>
        <w:rPr>
          <w:rFonts w:hint="eastAsia" w:ascii="宋体" w:hAnsi="宋体" w:cs="宋体"/>
          <w:sz w:val="24"/>
        </w:rPr>
      </w:pPr>
      <w:r>
        <w:rPr>
          <w:rFonts w:hint="eastAsia" w:ascii="宋体" w:hAnsi="宋体" w:cs="宋体"/>
          <w:sz w:val="24"/>
        </w:rPr>
        <w:t>（4）良好的资金、财务状况；</w:t>
      </w:r>
    </w:p>
    <w:p>
      <w:pPr>
        <w:spacing w:line="360" w:lineRule="auto"/>
        <w:ind w:left="481" w:leftChars="229"/>
        <w:rPr>
          <w:rFonts w:hint="eastAsia" w:ascii="宋体" w:hAnsi="宋体" w:cs="宋体"/>
          <w:sz w:val="24"/>
        </w:rPr>
      </w:pPr>
      <w:r>
        <w:rPr>
          <w:rFonts w:hint="eastAsia" w:ascii="宋体" w:hAnsi="宋体" w:cs="宋体"/>
          <w:sz w:val="24"/>
        </w:rPr>
        <w:t>（5）所提供的服务遵守国家法律法规政策规定；</w:t>
      </w:r>
    </w:p>
    <w:p>
      <w:pPr>
        <w:spacing w:line="360" w:lineRule="auto"/>
        <w:ind w:firstLine="480" w:firstLineChars="200"/>
        <w:rPr>
          <w:rFonts w:hint="eastAsia" w:ascii="宋体" w:hAnsi="宋体" w:cs="宋体"/>
          <w:sz w:val="24"/>
        </w:rPr>
      </w:pPr>
      <w:r>
        <w:rPr>
          <w:rFonts w:hint="eastAsia" w:ascii="宋体" w:hAnsi="宋体" w:cs="宋体"/>
          <w:sz w:val="24"/>
        </w:rPr>
        <w:t>（6）没有违反政府采购法规、政策的记录；</w:t>
      </w:r>
    </w:p>
    <w:p>
      <w:pPr>
        <w:spacing w:line="360" w:lineRule="auto"/>
        <w:ind w:firstLine="480" w:firstLineChars="200"/>
        <w:rPr>
          <w:rFonts w:hint="eastAsia" w:ascii="宋体" w:hAnsi="宋体" w:cs="宋体"/>
          <w:sz w:val="24"/>
        </w:rPr>
      </w:pPr>
      <w:r>
        <w:rPr>
          <w:rFonts w:hint="eastAsia" w:ascii="宋体" w:hAnsi="宋体" w:cs="宋体"/>
          <w:sz w:val="24"/>
        </w:rPr>
        <w:t>（7）没有发生重大经济纠纷和走私犯罪记录；</w:t>
      </w:r>
    </w:p>
    <w:p>
      <w:pPr>
        <w:spacing w:line="360" w:lineRule="auto"/>
        <w:ind w:firstLine="480" w:firstLineChars="200"/>
        <w:rPr>
          <w:rFonts w:hint="eastAsia" w:ascii="宋体" w:hAnsi="宋体" w:cs="宋体"/>
          <w:sz w:val="24"/>
        </w:rPr>
      </w:pPr>
      <w:r>
        <w:rPr>
          <w:rFonts w:hint="eastAsia" w:ascii="宋体" w:hAnsi="宋体" w:cs="宋体"/>
          <w:sz w:val="24"/>
        </w:rPr>
        <w:t>3、提供</w:t>
      </w:r>
      <w:r>
        <w:rPr>
          <w:rFonts w:hint="eastAsia" w:ascii="宋体" w:hAnsi="宋体" w:cs="宋体"/>
          <w:bCs/>
          <w:kern w:val="44"/>
          <w:sz w:val="24"/>
        </w:rPr>
        <w:t>供应商须知</w:t>
      </w:r>
      <w:r>
        <w:rPr>
          <w:rFonts w:hint="eastAsia" w:ascii="宋体" w:hAnsi="宋体" w:cs="宋体"/>
          <w:sz w:val="24"/>
        </w:rPr>
        <w:t>规定的全部投标文件，具体内容为：</w:t>
      </w:r>
    </w:p>
    <w:p>
      <w:pPr>
        <w:numPr>
          <w:ilvl w:val="0"/>
          <w:numId w:val="13"/>
        </w:numPr>
        <w:adjustRightInd/>
        <w:spacing w:line="360" w:lineRule="auto"/>
        <w:rPr>
          <w:rFonts w:hint="eastAsia" w:ascii="宋体" w:hAnsi="宋体" w:cs="宋体"/>
          <w:sz w:val="24"/>
        </w:rPr>
      </w:pPr>
      <w:r>
        <w:rPr>
          <w:rFonts w:hint="eastAsia" w:ascii="宋体" w:hAnsi="宋体" w:cs="宋体"/>
          <w:sz w:val="24"/>
        </w:rPr>
        <w:t>投标（开标）一览表及投标报价明细清单；</w:t>
      </w:r>
    </w:p>
    <w:p>
      <w:pPr>
        <w:numPr>
          <w:ilvl w:val="0"/>
          <w:numId w:val="13"/>
        </w:numPr>
        <w:adjustRightInd/>
        <w:spacing w:line="360" w:lineRule="auto"/>
        <w:rPr>
          <w:rFonts w:hint="eastAsia" w:ascii="宋体" w:hAnsi="宋体" w:cs="宋体"/>
          <w:sz w:val="24"/>
        </w:rPr>
      </w:pPr>
      <w:r>
        <w:rPr>
          <w:rFonts w:hint="eastAsia" w:ascii="宋体" w:hAnsi="宋体" w:cs="宋体"/>
          <w:sz w:val="24"/>
        </w:rPr>
        <w:t>资格文件、商务资信技术</w:t>
      </w:r>
      <w:r>
        <w:rPr>
          <w:rFonts w:hint="eastAsia" w:ascii="宋体" w:hAnsi="宋体" w:cs="宋体"/>
          <w:kern w:val="0"/>
          <w:sz w:val="24"/>
          <w:lang w:val="zh-CN"/>
        </w:rPr>
        <w:t>文件</w:t>
      </w:r>
      <w:r>
        <w:rPr>
          <w:rFonts w:hint="eastAsia" w:ascii="宋体" w:hAnsi="宋体" w:cs="宋体"/>
          <w:sz w:val="24"/>
        </w:rPr>
        <w:t>；</w:t>
      </w:r>
    </w:p>
    <w:p>
      <w:pPr>
        <w:numPr>
          <w:ilvl w:val="0"/>
          <w:numId w:val="13"/>
        </w:numPr>
        <w:adjustRightInd/>
        <w:spacing w:line="360" w:lineRule="auto"/>
        <w:rPr>
          <w:rFonts w:hint="eastAsia" w:ascii="宋体" w:hAnsi="宋体" w:cs="宋体"/>
          <w:sz w:val="24"/>
        </w:rPr>
      </w:pPr>
      <w:r>
        <w:rPr>
          <w:rFonts w:hint="eastAsia" w:ascii="宋体" w:hAnsi="宋体" w:cs="宋体"/>
          <w:bCs/>
          <w:kern w:val="44"/>
          <w:sz w:val="24"/>
        </w:rPr>
        <w:t>供应商须知</w:t>
      </w:r>
      <w:r>
        <w:rPr>
          <w:rFonts w:hint="eastAsia" w:ascii="宋体" w:hAnsi="宋体" w:cs="宋体"/>
          <w:sz w:val="24"/>
        </w:rPr>
        <w:t>要求供应商提交的全部文件；</w:t>
      </w:r>
    </w:p>
    <w:p>
      <w:pPr>
        <w:spacing w:line="360" w:lineRule="auto"/>
        <w:ind w:firstLine="480" w:firstLineChars="200"/>
        <w:rPr>
          <w:rFonts w:hint="eastAsia" w:ascii="宋体" w:hAnsi="宋体" w:cs="宋体"/>
          <w:sz w:val="24"/>
        </w:rPr>
      </w:pPr>
      <w:r>
        <w:rPr>
          <w:rFonts w:hint="eastAsia" w:ascii="宋体" w:hAnsi="宋体" w:cs="宋体"/>
          <w:sz w:val="24"/>
        </w:rPr>
        <w:t>4、按采购文件要求提供服务的投标报价详见开标一览表。</w:t>
      </w:r>
    </w:p>
    <w:p>
      <w:pPr>
        <w:spacing w:line="360" w:lineRule="auto"/>
        <w:ind w:firstLine="480" w:firstLineChars="200"/>
        <w:rPr>
          <w:rFonts w:hint="eastAsia" w:ascii="宋体" w:hAnsi="宋体" w:cs="宋体"/>
          <w:sz w:val="24"/>
        </w:rPr>
      </w:pPr>
      <w:r>
        <w:rPr>
          <w:rFonts w:hint="eastAsia" w:ascii="宋体" w:hAnsi="宋体" w:cs="宋体"/>
          <w:sz w:val="24"/>
        </w:rPr>
        <w:t>5、保证忠实地执行双方所签订的合同，并承担合同规定的责任和义务。</w:t>
      </w:r>
    </w:p>
    <w:p>
      <w:pPr>
        <w:spacing w:line="360" w:lineRule="auto"/>
        <w:ind w:firstLine="480" w:firstLineChars="200"/>
        <w:rPr>
          <w:rFonts w:hint="eastAsia" w:ascii="宋体" w:hAnsi="宋体" w:cs="宋体"/>
          <w:sz w:val="24"/>
        </w:rPr>
      </w:pPr>
      <w:r>
        <w:rPr>
          <w:rFonts w:hint="eastAsia" w:ascii="宋体" w:hAnsi="宋体" w:cs="宋体"/>
          <w:sz w:val="24"/>
        </w:rPr>
        <w:t>6、保证遵守采购文件中的其他有关规定。</w:t>
      </w:r>
    </w:p>
    <w:p>
      <w:pPr>
        <w:spacing w:line="360" w:lineRule="auto"/>
        <w:ind w:firstLine="480" w:firstLineChars="200"/>
        <w:rPr>
          <w:rFonts w:hint="eastAsia" w:ascii="宋体" w:hAnsi="宋体" w:cs="宋体"/>
          <w:sz w:val="24"/>
        </w:rPr>
      </w:pPr>
      <w:r>
        <w:rPr>
          <w:rFonts w:hint="eastAsia" w:ascii="宋体" w:hAnsi="宋体" w:cs="宋体"/>
          <w:sz w:val="24"/>
        </w:rPr>
        <w:t>7、在开标后规定的投标有效期内不会撤回投标文件。</w:t>
      </w:r>
    </w:p>
    <w:p>
      <w:pPr>
        <w:spacing w:line="360" w:lineRule="auto"/>
        <w:ind w:firstLine="480" w:firstLineChars="200"/>
        <w:rPr>
          <w:rFonts w:hint="eastAsia" w:ascii="宋体" w:hAnsi="宋体" w:cs="宋体"/>
          <w:sz w:val="24"/>
        </w:rPr>
      </w:pPr>
      <w:r>
        <w:rPr>
          <w:rFonts w:hint="eastAsia" w:ascii="宋体" w:hAnsi="宋体" w:cs="宋体"/>
          <w:sz w:val="24"/>
        </w:rPr>
        <w:t>8、我方完全理解贵方不一定要接受最低价的投标。</w:t>
      </w:r>
    </w:p>
    <w:p>
      <w:pPr>
        <w:spacing w:line="360" w:lineRule="auto"/>
        <w:ind w:firstLine="480" w:firstLineChars="200"/>
        <w:rPr>
          <w:rFonts w:hint="eastAsia" w:ascii="宋体" w:hAnsi="宋体" w:cs="宋体"/>
          <w:sz w:val="24"/>
        </w:rPr>
      </w:pPr>
      <w:r>
        <w:rPr>
          <w:rFonts w:hint="eastAsia" w:ascii="宋体" w:hAnsi="宋体" w:cs="宋体"/>
          <w:sz w:val="24"/>
        </w:rPr>
        <w:t>9、我方愿意向贵方提供任何与该项投标有关的数据、情况和技术资料。若贵方需要，我方愿意提供我方作出的一切承诺的证明材料。</w:t>
      </w:r>
    </w:p>
    <w:p>
      <w:pPr>
        <w:spacing w:line="360" w:lineRule="auto"/>
        <w:ind w:firstLine="480" w:firstLineChars="200"/>
        <w:rPr>
          <w:rFonts w:hint="eastAsia" w:ascii="宋体" w:hAnsi="宋体" w:cs="宋体"/>
          <w:sz w:val="24"/>
        </w:rPr>
      </w:pPr>
      <w:r>
        <w:rPr>
          <w:rFonts w:hint="eastAsia" w:ascii="宋体" w:hAnsi="宋体" w:cs="宋体"/>
          <w:sz w:val="24"/>
        </w:rPr>
        <w:t>10、我方已详细审核全部采购文件，包括采购文件修改书（如有的话）、参考资料及有关附件，确认无误。</w:t>
      </w:r>
    </w:p>
    <w:p>
      <w:pPr>
        <w:spacing w:line="360" w:lineRule="auto"/>
        <w:ind w:firstLine="480" w:firstLineChars="200"/>
        <w:rPr>
          <w:rFonts w:hint="eastAsia" w:ascii="宋体" w:hAnsi="宋体" w:cs="宋体"/>
          <w:sz w:val="24"/>
        </w:rPr>
      </w:pPr>
      <w:r>
        <w:rPr>
          <w:rFonts w:hint="eastAsia" w:ascii="宋体" w:hAnsi="宋体" w:cs="宋体"/>
          <w:sz w:val="24"/>
        </w:rPr>
        <w:t>11、我方将严格遵守《中华人民共和国政府采购法》第七十七条规定，供应商有下列情形之一的，处以采购金额5‰以上10‰以下的罚款，列入不良行为记录名单，在一至三年内禁止参加政府采购活动；有违法所得的，并处没收违法所得；情节严重的，由工商行政管理机关吊销营业执照；构成犯罪的，依法追究刑事责任：</w:t>
      </w:r>
    </w:p>
    <w:p>
      <w:pPr>
        <w:snapToGrid w:val="0"/>
        <w:spacing w:line="360" w:lineRule="auto"/>
        <w:ind w:firstLine="480" w:firstLineChars="200"/>
        <w:rPr>
          <w:rFonts w:hint="eastAsia" w:ascii="宋体" w:hAnsi="宋体" w:cs="宋体"/>
          <w:sz w:val="24"/>
        </w:rPr>
      </w:pPr>
      <w:r>
        <w:rPr>
          <w:rFonts w:hint="eastAsia" w:ascii="宋体" w:hAnsi="宋体" w:cs="宋体"/>
          <w:sz w:val="24"/>
        </w:rPr>
        <w:t>a)提供虚假材料谋取中标、成交的；</w:t>
      </w:r>
    </w:p>
    <w:p>
      <w:pPr>
        <w:snapToGrid w:val="0"/>
        <w:spacing w:line="360" w:lineRule="auto"/>
        <w:ind w:firstLine="480" w:firstLineChars="200"/>
        <w:rPr>
          <w:rFonts w:hint="eastAsia" w:ascii="宋体" w:hAnsi="宋体" w:cs="宋体"/>
          <w:sz w:val="24"/>
        </w:rPr>
      </w:pPr>
      <w:r>
        <w:rPr>
          <w:rFonts w:hint="eastAsia" w:ascii="宋体" w:hAnsi="宋体" w:cs="宋体"/>
          <w:sz w:val="24"/>
        </w:rPr>
        <w:t>b)采取不正当手段诋毁、排挤其他供应商的；</w:t>
      </w:r>
    </w:p>
    <w:p>
      <w:pPr>
        <w:snapToGrid w:val="0"/>
        <w:spacing w:line="360" w:lineRule="auto"/>
        <w:ind w:firstLine="480" w:firstLineChars="200"/>
        <w:rPr>
          <w:rFonts w:hint="eastAsia" w:ascii="宋体" w:hAnsi="宋体" w:cs="宋体"/>
          <w:sz w:val="24"/>
        </w:rPr>
      </w:pPr>
      <w:r>
        <w:rPr>
          <w:rFonts w:hint="eastAsia" w:ascii="宋体" w:hAnsi="宋体" w:cs="宋体"/>
          <w:sz w:val="24"/>
        </w:rPr>
        <w:t>c)与采购人、其它供应商或者采购代理机构恶意串通的；</w:t>
      </w:r>
    </w:p>
    <w:p>
      <w:pPr>
        <w:snapToGrid w:val="0"/>
        <w:spacing w:line="360" w:lineRule="auto"/>
        <w:ind w:firstLine="480" w:firstLineChars="200"/>
        <w:rPr>
          <w:rFonts w:hint="eastAsia" w:ascii="宋体" w:hAnsi="宋体" w:cs="宋体"/>
          <w:sz w:val="24"/>
        </w:rPr>
      </w:pPr>
      <w:r>
        <w:rPr>
          <w:rFonts w:hint="eastAsia" w:ascii="宋体" w:hAnsi="宋体" w:cs="宋体"/>
          <w:sz w:val="24"/>
        </w:rPr>
        <w:t>d)向采购人、采购代理机构行贿或者提供其他不正当利益的；</w:t>
      </w:r>
    </w:p>
    <w:p>
      <w:pPr>
        <w:snapToGrid w:val="0"/>
        <w:spacing w:line="360" w:lineRule="auto"/>
        <w:ind w:firstLine="480" w:firstLineChars="200"/>
        <w:rPr>
          <w:rFonts w:hint="eastAsia" w:ascii="宋体" w:hAnsi="宋体" w:cs="宋体"/>
          <w:sz w:val="24"/>
        </w:rPr>
      </w:pPr>
      <w:r>
        <w:rPr>
          <w:rFonts w:hint="eastAsia" w:ascii="宋体" w:hAnsi="宋体" w:cs="宋体"/>
          <w:sz w:val="24"/>
        </w:rPr>
        <w:t>e)在招标采购过程中与采购人进行协商谈判的；</w:t>
      </w:r>
    </w:p>
    <w:p>
      <w:pPr>
        <w:snapToGrid w:val="0"/>
        <w:spacing w:line="360" w:lineRule="auto"/>
        <w:ind w:firstLine="480" w:firstLineChars="200"/>
        <w:rPr>
          <w:rFonts w:hint="eastAsia" w:ascii="宋体" w:hAnsi="宋体" w:cs="宋体"/>
          <w:sz w:val="24"/>
        </w:rPr>
      </w:pPr>
      <w:r>
        <w:rPr>
          <w:rFonts w:hint="eastAsia" w:ascii="宋体" w:hAnsi="宋体" w:cs="宋体"/>
          <w:sz w:val="24"/>
        </w:rPr>
        <w:t>f)拒绝有关部门监督检查或提供虚假情况的。</w:t>
      </w:r>
    </w:p>
    <w:p>
      <w:pPr>
        <w:spacing w:line="360" w:lineRule="auto"/>
        <w:ind w:firstLine="480" w:firstLineChars="200"/>
        <w:rPr>
          <w:rFonts w:hint="eastAsia" w:ascii="宋体" w:hAnsi="宋体" w:cs="宋体"/>
          <w:sz w:val="24"/>
        </w:rPr>
      </w:pPr>
      <w:r>
        <w:rPr>
          <w:rFonts w:hint="eastAsia" w:ascii="宋体" w:hAnsi="宋体" w:cs="宋体"/>
          <w:sz w:val="24"/>
        </w:rPr>
        <w:t>供应商有前款第a)至f)项情形之一的，中标、成交无效。</w:t>
      </w:r>
    </w:p>
    <w:p>
      <w:pPr>
        <w:autoSpaceDE w:val="0"/>
        <w:autoSpaceDN w:val="0"/>
        <w:spacing w:line="360" w:lineRule="auto"/>
        <w:ind w:firstLine="4200"/>
        <w:rPr>
          <w:rFonts w:hint="eastAsia" w:ascii="宋体" w:hAnsi="宋体" w:cs="宋体"/>
          <w:kern w:val="0"/>
          <w:sz w:val="24"/>
          <w:lang w:val="zh-CN"/>
        </w:rPr>
      </w:pPr>
    </w:p>
    <w:p>
      <w:pPr>
        <w:snapToGrid w:val="0"/>
        <w:spacing w:line="360" w:lineRule="auto"/>
        <w:ind w:firstLine="3120" w:firstLineChars="1300"/>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u w:val="single"/>
          <w:lang w:val="zh-CN"/>
        </w:rPr>
      </w:pPr>
      <w:r>
        <w:rPr>
          <w:rFonts w:hint="eastAsia" w:ascii="宋体" w:hAnsi="宋体" w:cs="宋体"/>
          <w:kern w:val="0"/>
          <w:sz w:val="24"/>
        </w:rPr>
        <w:t>日期：  年  月   日</w:t>
      </w:r>
    </w:p>
    <w:p>
      <w:pPr>
        <w:autoSpaceDE w:val="0"/>
        <w:autoSpaceDN w:val="0"/>
        <w:spacing w:line="360" w:lineRule="auto"/>
        <w:rPr>
          <w:rFonts w:hint="eastAsia" w:ascii="宋体" w:hAnsi="宋体" w:cs="宋体"/>
          <w:kern w:val="0"/>
          <w:sz w:val="24"/>
        </w:rPr>
      </w:pPr>
      <w:r>
        <w:rPr>
          <w:rFonts w:hint="eastAsia" w:ascii="宋体" w:hAnsi="宋体" w:cs="宋体"/>
          <w:kern w:val="0"/>
          <w:sz w:val="24"/>
          <w:lang w:val="zh-CN"/>
        </w:rPr>
        <w:t>联系人：</w:t>
      </w:r>
      <w:r>
        <w:rPr>
          <w:rFonts w:hint="eastAsia" w:ascii="宋体" w:hAnsi="宋体" w:cs="宋体"/>
          <w:kern w:val="0"/>
          <w:sz w:val="24"/>
          <w:u w:val="single"/>
          <w:lang w:val="zh-CN"/>
        </w:rPr>
        <w:t xml:space="preserve">                    </w:t>
      </w:r>
      <w:r>
        <w:rPr>
          <w:rFonts w:hint="eastAsia" w:ascii="宋体" w:hAnsi="宋体" w:cs="宋体"/>
          <w:kern w:val="0"/>
          <w:sz w:val="24"/>
          <w:lang w:val="zh-CN"/>
        </w:rPr>
        <w:t xml:space="preserve">联系电话: </w:t>
      </w:r>
      <w:r>
        <w:rPr>
          <w:rFonts w:hint="eastAsia" w:ascii="宋体" w:hAnsi="宋体" w:cs="宋体"/>
          <w:kern w:val="0"/>
          <w:sz w:val="24"/>
          <w:u w:val="single"/>
          <w:lang w:val="zh-CN"/>
        </w:rPr>
        <w:t xml:space="preserve">                </w:t>
      </w:r>
    </w:p>
    <w:p>
      <w:pPr>
        <w:autoSpaceDE w:val="0"/>
        <w:autoSpaceDN w:val="0"/>
        <w:spacing w:line="360" w:lineRule="auto"/>
        <w:rPr>
          <w:rFonts w:hint="eastAsia" w:ascii="宋体" w:hAnsi="宋体" w:cs="宋体"/>
          <w:kern w:val="0"/>
          <w:sz w:val="24"/>
        </w:rPr>
      </w:pPr>
      <w:r>
        <w:rPr>
          <w:rFonts w:hint="eastAsia" w:ascii="宋体" w:hAnsi="宋体" w:cs="宋体"/>
          <w:kern w:val="0"/>
          <w:sz w:val="24"/>
          <w:lang w:val="zh-CN"/>
        </w:rPr>
        <w:t>联系地址：</w:t>
      </w:r>
      <w:r>
        <w:rPr>
          <w:rFonts w:hint="eastAsia" w:ascii="宋体" w:hAnsi="宋体" w:cs="宋体"/>
          <w:kern w:val="0"/>
          <w:sz w:val="24"/>
          <w:u w:val="single"/>
          <w:lang w:val="zh-CN"/>
        </w:rPr>
        <w:t xml:space="preserve">                                                        </w:t>
      </w:r>
    </w:p>
    <w:p>
      <w:pPr>
        <w:autoSpaceDE w:val="0"/>
        <w:autoSpaceDN w:val="0"/>
        <w:spacing w:line="360" w:lineRule="auto"/>
        <w:rPr>
          <w:rFonts w:hint="eastAsia" w:ascii="宋体" w:hAnsi="宋体" w:cs="宋体"/>
          <w:kern w:val="0"/>
          <w:sz w:val="24"/>
          <w:u w:val="single"/>
          <w:lang w:val="zh-CN"/>
        </w:rPr>
      </w:pPr>
      <w:r>
        <w:rPr>
          <w:rFonts w:hint="eastAsia" w:ascii="宋体" w:hAnsi="宋体" w:cs="宋体"/>
          <w:kern w:val="0"/>
          <w:sz w:val="24"/>
          <w:lang w:val="zh-CN"/>
        </w:rPr>
        <w:t>邮政编码：</w:t>
      </w:r>
      <w:r>
        <w:rPr>
          <w:rFonts w:hint="eastAsia" w:ascii="宋体" w:hAnsi="宋体" w:cs="宋体"/>
          <w:kern w:val="0"/>
          <w:sz w:val="24"/>
          <w:u w:val="single"/>
          <w:lang w:val="zh-CN"/>
        </w:rPr>
        <w:t xml:space="preserve">                     </w:t>
      </w:r>
      <w:r>
        <w:rPr>
          <w:rFonts w:hint="eastAsia" w:ascii="宋体" w:hAnsi="宋体" w:cs="宋体"/>
          <w:kern w:val="0"/>
          <w:sz w:val="24"/>
          <w:lang w:val="zh-CN"/>
        </w:rPr>
        <w:t>传真号码：</w:t>
      </w:r>
      <w:r>
        <w:rPr>
          <w:rFonts w:hint="eastAsia" w:ascii="宋体" w:hAnsi="宋体" w:cs="宋体"/>
          <w:kern w:val="0"/>
          <w:sz w:val="24"/>
          <w:u w:val="single"/>
          <w:lang w:val="zh-CN"/>
        </w:rPr>
        <w:t xml:space="preserve">                         </w:t>
      </w:r>
    </w:p>
    <w:p>
      <w:pPr>
        <w:autoSpaceDE w:val="0"/>
        <w:autoSpaceDN w:val="0"/>
        <w:spacing w:line="360" w:lineRule="auto"/>
        <w:rPr>
          <w:rFonts w:hint="eastAsia" w:ascii="宋体" w:hAnsi="宋体" w:cs="宋体"/>
          <w:kern w:val="0"/>
          <w:sz w:val="24"/>
          <w:u w:val="single"/>
        </w:rPr>
      </w:pPr>
      <w:r>
        <w:rPr>
          <w:rFonts w:hint="eastAsia" w:ascii="宋体" w:hAnsi="宋体" w:cs="宋体"/>
          <w:kern w:val="0"/>
          <w:sz w:val="24"/>
          <w:lang w:val="zh-CN"/>
        </w:rPr>
        <w:t>供应商开户银行：</w:t>
      </w:r>
      <w:r>
        <w:rPr>
          <w:rFonts w:hint="eastAsia" w:ascii="宋体" w:hAnsi="宋体" w:cs="宋体"/>
          <w:kern w:val="0"/>
          <w:sz w:val="24"/>
          <w:u w:val="single"/>
          <w:lang w:val="zh-CN"/>
        </w:rPr>
        <w:t xml:space="preserve">                </w:t>
      </w:r>
      <w:r>
        <w:rPr>
          <w:rFonts w:hint="eastAsia" w:ascii="宋体" w:hAnsi="宋体" w:cs="宋体"/>
          <w:kern w:val="0"/>
          <w:sz w:val="24"/>
          <w:lang w:val="zh-CN"/>
        </w:rPr>
        <w:t>帐号：</w:t>
      </w:r>
      <w:r>
        <w:rPr>
          <w:rFonts w:hint="eastAsia" w:ascii="宋体" w:hAnsi="宋体" w:cs="宋体"/>
          <w:kern w:val="0"/>
          <w:sz w:val="24"/>
          <w:u w:val="single"/>
          <w:lang w:val="zh-CN"/>
        </w:rPr>
        <w:t xml:space="preserve">                              </w:t>
      </w:r>
    </w:p>
    <w:p>
      <w:pPr>
        <w:pStyle w:val="617"/>
        <w:keepNext w:val="0"/>
        <w:pageBreakBefore w:val="0"/>
        <w:tabs>
          <w:tab w:val="clear" w:pos="720"/>
        </w:tabs>
        <w:jc w:val="both"/>
        <w:outlineLvl w:val="9"/>
        <w:rPr>
          <w:rFonts w:hint="eastAsia" w:ascii="宋体" w:hAnsi="宋体" w:eastAsia="宋体" w:cs="宋体"/>
          <w:sz w:val="24"/>
          <w:szCs w:val="24"/>
        </w:rPr>
      </w:pPr>
    </w:p>
    <w:p>
      <w:pPr>
        <w:spacing w:line="360" w:lineRule="auto"/>
        <w:rPr>
          <w:rFonts w:hint="eastAsia" w:ascii="宋体" w:hAnsi="宋体" w:cs="宋体"/>
          <w:b/>
          <w:sz w:val="24"/>
        </w:rPr>
      </w:pPr>
    </w:p>
    <w:p>
      <w:pPr>
        <w:pStyle w:val="3"/>
        <w:numPr>
          <w:ilvl w:val="0"/>
          <w:numId w:val="0"/>
        </w:numPr>
        <w:rPr>
          <w:rFonts w:hint="eastAsia"/>
        </w:rPr>
      </w:pPr>
    </w:p>
    <w:p>
      <w:pPr>
        <w:rPr>
          <w:rFonts w:hint="eastAsia"/>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pStyle w:val="23"/>
        <w:rPr>
          <w:rFonts w:hint="eastAsia"/>
        </w:rPr>
      </w:pPr>
    </w:p>
    <w:p>
      <w:pPr>
        <w:jc w:val="center"/>
        <w:rPr>
          <w:rFonts w:hint="eastAsia" w:ascii="宋体" w:hAnsi="宋体" w:cs="宋体"/>
          <w:b/>
          <w:sz w:val="32"/>
          <w:szCs w:val="32"/>
        </w:rPr>
      </w:pPr>
    </w:p>
    <w:p>
      <w:pPr>
        <w:rPr>
          <w:rFonts w:hint="eastAsia" w:ascii="宋体" w:hAnsi="宋体" w:cs="宋体"/>
          <w:b/>
          <w:sz w:val="32"/>
          <w:szCs w:val="32"/>
        </w:rPr>
      </w:pPr>
    </w:p>
    <w:p>
      <w:pPr>
        <w:jc w:val="center"/>
        <w:rPr>
          <w:rFonts w:hint="eastAsia" w:ascii="宋体" w:hAnsi="宋体" w:cs="宋体"/>
          <w:b/>
          <w:sz w:val="32"/>
          <w:szCs w:val="32"/>
        </w:rPr>
      </w:pPr>
      <w:r>
        <w:rPr>
          <w:rFonts w:hint="eastAsia" w:ascii="宋体" w:hAnsi="宋体" w:cs="宋体"/>
          <w:b/>
          <w:sz w:val="32"/>
          <w:szCs w:val="32"/>
        </w:rPr>
        <w:t>投 标(开 标)一 览 表</w:t>
      </w:r>
    </w:p>
    <w:p>
      <w:pPr>
        <w:pStyle w:val="3"/>
        <w:numPr>
          <w:ilvl w:val="0"/>
          <w:numId w:val="0"/>
        </w:numPr>
        <w:rPr>
          <w:rFonts w:hint="eastAsia"/>
        </w:rPr>
      </w:pPr>
    </w:p>
    <w:p>
      <w:pPr>
        <w:snapToGrid w:val="0"/>
        <w:spacing w:line="360" w:lineRule="auto"/>
        <w:rPr>
          <w:rFonts w:hint="eastAsia" w:ascii="宋体" w:hAnsi="宋体" w:cs="宋体"/>
          <w:kern w:val="0"/>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r>
        <w:rPr>
          <w:rFonts w:hint="eastAsia" w:ascii="宋体" w:hAnsi="宋体" w:cs="宋体"/>
          <w:kern w:val="0"/>
          <w:sz w:val="24"/>
          <w:lang w:val="zh-CN"/>
        </w:rPr>
        <w:t>：</w:t>
      </w:r>
    </w:p>
    <w:p>
      <w:pPr>
        <w:spacing w:line="360" w:lineRule="auto"/>
        <w:ind w:firstLine="480"/>
        <w:rPr>
          <w:rFonts w:hint="eastAsia" w:ascii="宋体" w:hAnsi="宋体" w:cs="宋体"/>
          <w:kern w:val="0"/>
          <w:sz w:val="24"/>
          <w:lang w:val="zh-CN"/>
        </w:rPr>
      </w:pPr>
      <w:r>
        <w:rPr>
          <w:rFonts w:hint="eastAsia" w:ascii="宋体" w:hAnsi="宋体" w:cs="宋体"/>
          <w:kern w:val="0"/>
          <w:sz w:val="24"/>
          <w:lang w:val="zh-CN"/>
        </w:rPr>
        <w:t>按你方采购文件要求，我们，本标书签字方，谨此向你方发出要约如下：如你方接受本投标，我方承诺按照如下投标(开标)一览表的价格完成</w:t>
      </w:r>
      <w:r>
        <w:rPr>
          <w:rFonts w:hint="eastAsia" w:ascii="宋体" w:hAnsi="宋体" w:cs="宋体"/>
          <w:kern w:val="0"/>
          <w:sz w:val="24"/>
          <w:u w:val="single"/>
          <w:lang w:val="zh-CN"/>
        </w:rPr>
        <w:t>（项目编号</w:t>
      </w:r>
      <w:r>
        <w:rPr>
          <w:rFonts w:hint="eastAsia" w:ascii="宋体" w:hAnsi="宋体" w:cs="宋体"/>
          <w:kern w:val="0"/>
          <w:sz w:val="24"/>
          <w:u w:val="single"/>
        </w:rPr>
        <w:t xml:space="preserve">：        </w:t>
      </w:r>
      <w:r>
        <w:rPr>
          <w:rFonts w:hint="eastAsia" w:ascii="宋体" w:hAnsi="宋体" w:cs="宋体"/>
          <w:kern w:val="0"/>
          <w:sz w:val="24"/>
          <w:u w:val="single"/>
          <w:lang w:val="zh-CN"/>
        </w:rPr>
        <w:t>）</w:t>
      </w:r>
      <w:r>
        <w:rPr>
          <w:rFonts w:hint="eastAsia" w:ascii="宋体" w:hAnsi="宋体" w:cs="宋体"/>
          <w:kern w:val="0"/>
          <w:sz w:val="24"/>
          <w:lang w:val="zh-CN"/>
        </w:rPr>
        <w:t xml:space="preserve">的（项目名称： </w:t>
      </w:r>
      <w:r>
        <w:rPr>
          <w:rFonts w:hint="eastAsia" w:ascii="宋体" w:hAnsi="宋体" w:cs="宋体"/>
          <w:kern w:val="0"/>
          <w:sz w:val="24"/>
          <w:u w:val="single"/>
          <w:lang w:val="zh-CN"/>
        </w:rPr>
        <w:t xml:space="preserve">           </w:t>
      </w:r>
      <w:r>
        <w:rPr>
          <w:rFonts w:hint="eastAsia" w:ascii="宋体" w:hAnsi="宋体" w:cs="宋体"/>
          <w:sz w:val="24"/>
        </w:rPr>
        <w:t>）采购项目的</w:t>
      </w:r>
      <w:r>
        <w:rPr>
          <w:rFonts w:hint="eastAsia" w:ascii="宋体" w:hAnsi="宋体" w:cs="宋体"/>
          <w:kern w:val="0"/>
          <w:sz w:val="24"/>
          <w:lang w:val="zh-CN"/>
        </w:rPr>
        <w:t>实施。</w:t>
      </w:r>
    </w:p>
    <w:tbl>
      <w:tblPr>
        <w:tblStyle w:val="60"/>
        <w:tblW w:w="89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4722"/>
        <w:gridCol w:w="2070"/>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890" w:type="dxa"/>
            <w:noWrap w:val="0"/>
            <w:vAlign w:val="center"/>
          </w:tcPr>
          <w:p>
            <w:pPr>
              <w:tabs>
                <w:tab w:val="left" w:pos="2670"/>
              </w:tabs>
              <w:jc w:val="center"/>
              <w:rPr>
                <w:rFonts w:ascii="宋体" w:hAnsi="宋体" w:cs="宋体"/>
                <w:b/>
                <w:bCs/>
                <w:sz w:val="24"/>
              </w:rPr>
            </w:pPr>
            <w:r>
              <w:rPr>
                <w:rFonts w:hint="eastAsia" w:ascii="宋体" w:hAnsi="宋体" w:cs="宋体"/>
                <w:b/>
                <w:bCs/>
                <w:sz w:val="24"/>
              </w:rPr>
              <w:t xml:space="preserve">序号 </w:t>
            </w:r>
          </w:p>
        </w:tc>
        <w:tc>
          <w:tcPr>
            <w:tcW w:w="4722" w:type="dxa"/>
            <w:noWrap w:val="0"/>
            <w:vAlign w:val="center"/>
          </w:tcPr>
          <w:p>
            <w:pPr>
              <w:tabs>
                <w:tab w:val="left" w:pos="2670"/>
              </w:tabs>
              <w:jc w:val="center"/>
              <w:rPr>
                <w:rFonts w:hint="eastAsia"/>
                <w:b/>
                <w:sz w:val="24"/>
                <w:lang w:val="zh-CN"/>
              </w:rPr>
            </w:pPr>
            <w:r>
              <w:rPr>
                <w:rFonts w:hint="eastAsia"/>
                <w:b/>
                <w:sz w:val="24"/>
              </w:rPr>
              <w:t>采购内容</w:t>
            </w:r>
          </w:p>
        </w:tc>
        <w:tc>
          <w:tcPr>
            <w:tcW w:w="2070" w:type="dxa"/>
            <w:noWrap w:val="0"/>
            <w:vAlign w:val="center"/>
          </w:tcPr>
          <w:p>
            <w:pPr>
              <w:tabs>
                <w:tab w:val="left" w:pos="2670"/>
              </w:tabs>
              <w:jc w:val="center"/>
              <w:rPr>
                <w:rFonts w:hint="eastAsia"/>
                <w:b/>
                <w:sz w:val="24"/>
              </w:rPr>
            </w:pPr>
            <w:r>
              <w:rPr>
                <w:rFonts w:hint="eastAsia"/>
                <w:b/>
                <w:sz w:val="24"/>
              </w:rPr>
              <w:t>服务项目负责人</w:t>
            </w:r>
          </w:p>
        </w:tc>
        <w:tc>
          <w:tcPr>
            <w:tcW w:w="1258" w:type="dxa"/>
            <w:noWrap w:val="0"/>
            <w:vAlign w:val="center"/>
          </w:tcPr>
          <w:p>
            <w:pPr>
              <w:tabs>
                <w:tab w:val="left" w:pos="2670"/>
              </w:tabs>
              <w:jc w:val="center"/>
              <w:rPr>
                <w:rFonts w:ascii="宋体" w:hAnsi="宋体" w:cs="宋体"/>
                <w:b/>
                <w:bCs/>
                <w:sz w:val="24"/>
                <w:lang w:val="zh-CN"/>
              </w:rPr>
            </w:pPr>
            <w:r>
              <w:rPr>
                <w:rFonts w:hint="eastAsia" w:ascii="宋体" w:hAnsi="宋体" w:cs="宋体"/>
                <w:b/>
                <w:bCs/>
                <w:sz w:val="24"/>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trPr>
        <w:tc>
          <w:tcPr>
            <w:tcW w:w="890" w:type="dxa"/>
            <w:noWrap w:val="0"/>
            <w:vAlign w:val="center"/>
          </w:tcPr>
          <w:p>
            <w:pPr>
              <w:tabs>
                <w:tab w:val="left" w:pos="2670"/>
              </w:tabs>
              <w:spacing w:line="360" w:lineRule="auto"/>
              <w:jc w:val="center"/>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 xml:space="preserve"> </w:t>
            </w:r>
          </w:p>
        </w:tc>
        <w:tc>
          <w:tcPr>
            <w:tcW w:w="4722" w:type="dxa"/>
            <w:noWrap w:val="0"/>
            <w:vAlign w:val="center"/>
          </w:tcPr>
          <w:p>
            <w:pPr>
              <w:jc w:val="center"/>
              <w:rPr>
                <w:rFonts w:hint="eastAsia"/>
                <w:sz w:val="24"/>
              </w:rPr>
            </w:pPr>
          </w:p>
        </w:tc>
        <w:tc>
          <w:tcPr>
            <w:tcW w:w="2070" w:type="dxa"/>
            <w:noWrap w:val="0"/>
            <w:vAlign w:val="center"/>
          </w:tcPr>
          <w:p>
            <w:pPr>
              <w:tabs>
                <w:tab w:val="left" w:pos="2670"/>
              </w:tabs>
              <w:jc w:val="right"/>
              <w:rPr>
                <w:rFonts w:ascii="宋体" w:hAnsi="宋体" w:cs="宋体"/>
                <w:sz w:val="24"/>
              </w:rPr>
            </w:pPr>
          </w:p>
        </w:tc>
        <w:tc>
          <w:tcPr>
            <w:tcW w:w="1258" w:type="dxa"/>
            <w:noWrap w:val="0"/>
            <w:vAlign w:val="center"/>
          </w:tcPr>
          <w:p>
            <w:pPr>
              <w:tabs>
                <w:tab w:val="left" w:pos="2670"/>
              </w:tabs>
              <w:rPr>
                <w:rFonts w:ascii="宋体" w:hAnsi="宋体" w:cs="宋体"/>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890" w:type="dxa"/>
            <w:vMerge w:val="restart"/>
            <w:noWrap w:val="0"/>
            <w:vAlign w:val="center"/>
          </w:tcPr>
          <w:p>
            <w:pPr>
              <w:tabs>
                <w:tab w:val="left" w:pos="2670"/>
              </w:tabs>
              <w:jc w:val="center"/>
              <w:rPr>
                <w:rFonts w:ascii="宋体" w:hAnsi="宋体" w:cs="宋体"/>
                <w:b/>
                <w:bCs/>
                <w:szCs w:val="21"/>
                <w:lang w:val="zh-CN"/>
              </w:rPr>
            </w:pPr>
            <w:r>
              <w:rPr>
                <w:rFonts w:hint="eastAsia" w:ascii="宋体" w:hAnsi="宋体" w:cs="宋体"/>
                <w:b/>
                <w:bCs/>
                <w:szCs w:val="21"/>
                <w:lang w:val="zh-CN"/>
              </w:rPr>
              <w:t>投标报价合计</w:t>
            </w:r>
          </w:p>
        </w:tc>
        <w:tc>
          <w:tcPr>
            <w:tcW w:w="8050" w:type="dxa"/>
            <w:gridSpan w:val="3"/>
            <w:noWrap w:val="0"/>
            <w:vAlign w:val="center"/>
          </w:tcPr>
          <w:p>
            <w:pPr>
              <w:tabs>
                <w:tab w:val="left" w:pos="2670"/>
              </w:tabs>
              <w:ind w:firstLine="470" w:firstLineChars="196"/>
              <w:rPr>
                <w:rFonts w:ascii="宋体" w:hAnsi="宋体" w:cs="宋体"/>
                <w:b/>
                <w:bCs/>
                <w:sz w:val="24"/>
                <w:lang w:val="zh-CN"/>
              </w:rPr>
            </w:pPr>
            <w:r>
              <w:rPr>
                <w:rFonts w:hint="eastAsia" w:ascii="宋体" w:hAnsi="宋体" w:cs="宋体"/>
                <w:sz w:val="24"/>
                <w:lang w:val="en-GB"/>
              </w:rPr>
              <w:t>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890" w:type="dxa"/>
            <w:vMerge w:val="continue"/>
            <w:noWrap w:val="0"/>
            <w:vAlign w:val="center"/>
          </w:tcPr>
          <w:p>
            <w:pPr>
              <w:tabs>
                <w:tab w:val="left" w:pos="2670"/>
              </w:tabs>
              <w:ind w:firstLine="413" w:firstLineChars="196"/>
              <w:rPr>
                <w:rFonts w:ascii="宋体" w:hAnsi="宋体" w:cs="宋体"/>
                <w:b/>
                <w:bCs/>
                <w:szCs w:val="21"/>
                <w:lang w:val="zh-CN"/>
              </w:rPr>
            </w:pPr>
          </w:p>
        </w:tc>
        <w:tc>
          <w:tcPr>
            <w:tcW w:w="8050" w:type="dxa"/>
            <w:gridSpan w:val="3"/>
            <w:noWrap w:val="0"/>
            <w:vAlign w:val="center"/>
          </w:tcPr>
          <w:p>
            <w:pPr>
              <w:tabs>
                <w:tab w:val="left" w:pos="2670"/>
              </w:tabs>
              <w:ind w:firstLine="470" w:firstLineChars="196"/>
              <w:rPr>
                <w:rFonts w:ascii="宋体" w:hAnsi="宋体" w:cs="宋体"/>
                <w:sz w:val="24"/>
                <w:lang w:val="en-GB"/>
              </w:rPr>
            </w:pPr>
            <w:r>
              <w:rPr>
                <w:rFonts w:hint="eastAsia" w:ascii="宋体" w:hAnsi="宋体" w:cs="宋体"/>
                <w:sz w:val="24"/>
                <w:lang w:val="en-GB"/>
              </w:rPr>
              <w:t xml:space="preserve">人民币大写： </w:t>
            </w:r>
          </w:p>
        </w:tc>
      </w:tr>
    </w:tbl>
    <w:p>
      <w:pPr>
        <w:spacing w:line="360" w:lineRule="auto"/>
        <w:ind w:left="-2" w:leftChars="-1"/>
        <w:rPr>
          <w:rFonts w:hint="eastAsia" w:ascii="宋体" w:hAnsi="宋体" w:cs="宋体"/>
          <w:b/>
          <w:bCs/>
          <w:sz w:val="24"/>
          <w:u w:val="single"/>
        </w:rPr>
      </w:pPr>
      <w:r>
        <w:rPr>
          <w:rFonts w:hint="eastAsia" w:ascii="宋体" w:hAnsi="宋体" w:cs="宋体"/>
          <w:sz w:val="24"/>
        </w:rPr>
        <w:t>附： 1、表式供参照使用。</w:t>
      </w:r>
    </w:p>
    <w:p>
      <w:pPr>
        <w:spacing w:line="360" w:lineRule="auto"/>
        <w:ind w:left="-2" w:leftChars="-1" w:firstLine="600" w:firstLineChars="250"/>
        <w:rPr>
          <w:rFonts w:hint="eastAsia" w:ascii="宋体" w:hAnsi="宋体" w:cs="宋体"/>
          <w:sz w:val="24"/>
        </w:rPr>
      </w:pPr>
      <w:r>
        <w:rPr>
          <w:rFonts w:hint="eastAsia" w:ascii="宋体" w:hAnsi="宋体" w:cs="宋体"/>
          <w:sz w:val="24"/>
        </w:rPr>
        <w:t>2、有关本项目实施所需的</w:t>
      </w:r>
      <w:r>
        <w:rPr>
          <w:rFonts w:hint="eastAsia" w:ascii="宋体" w:hAnsi="宋体"/>
          <w:sz w:val="24"/>
          <w:lang w:eastAsia="zh-CN"/>
        </w:rPr>
        <w:t>货款</w:t>
      </w:r>
      <w:r>
        <w:rPr>
          <w:rFonts w:hint="eastAsia" w:ascii="宋体" w:hAnsi="宋体"/>
          <w:sz w:val="24"/>
        </w:rPr>
        <w:t>、安装调试、服务费、培训、检测验收、税金及交付使用后维保等</w:t>
      </w:r>
      <w:r>
        <w:rPr>
          <w:rFonts w:hint="eastAsia" w:ascii="宋体" w:hAnsi="宋体" w:cs="宋体"/>
          <w:sz w:val="24"/>
        </w:rPr>
        <w:t>完成本项目所需的一切费用均计入报价。</w:t>
      </w: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u w:val="single"/>
          <w:lang w:val="zh-CN"/>
        </w:rPr>
      </w:pPr>
      <w:r>
        <w:rPr>
          <w:rFonts w:hint="eastAsia" w:ascii="宋体" w:hAnsi="宋体" w:cs="宋体"/>
          <w:kern w:val="0"/>
          <w:sz w:val="24"/>
        </w:rPr>
        <w:t>日期：  年  月   日</w:t>
      </w:r>
    </w:p>
    <w:p>
      <w:pPr>
        <w:snapToGrid w:val="0"/>
        <w:ind w:firstLine="643" w:firstLineChars="200"/>
        <w:jc w:val="center"/>
        <w:rPr>
          <w:rFonts w:hint="eastAsia" w:ascii="宋体" w:hAnsi="宋体" w:cs="宋体"/>
          <w:b/>
          <w:sz w:val="32"/>
          <w:szCs w:val="32"/>
        </w:rPr>
      </w:pPr>
    </w:p>
    <w:p>
      <w:pPr>
        <w:snapToGrid w:val="0"/>
        <w:ind w:firstLine="643" w:firstLineChars="200"/>
        <w:jc w:val="center"/>
        <w:rPr>
          <w:rFonts w:hint="eastAsia" w:ascii="宋体" w:hAnsi="宋体" w:cs="宋体"/>
          <w:b/>
          <w:sz w:val="32"/>
          <w:szCs w:val="32"/>
        </w:rPr>
      </w:pPr>
    </w:p>
    <w:p>
      <w:pPr>
        <w:snapToGrid w:val="0"/>
        <w:ind w:firstLine="643" w:firstLineChars="200"/>
        <w:jc w:val="center"/>
        <w:rPr>
          <w:rFonts w:hint="eastAsia" w:ascii="宋体" w:hAnsi="宋体" w:cs="宋体"/>
          <w:b/>
          <w:sz w:val="32"/>
          <w:szCs w:val="32"/>
        </w:rPr>
      </w:pPr>
    </w:p>
    <w:p>
      <w:pPr>
        <w:snapToGrid w:val="0"/>
        <w:ind w:firstLine="643" w:firstLineChars="200"/>
        <w:jc w:val="center"/>
        <w:rPr>
          <w:rFonts w:hint="eastAsia" w:ascii="宋体" w:hAnsi="宋体" w:cs="宋体"/>
          <w:b/>
          <w:sz w:val="32"/>
          <w:szCs w:val="32"/>
        </w:rPr>
      </w:pPr>
    </w:p>
    <w:p>
      <w:pPr>
        <w:pStyle w:val="58"/>
        <w:rPr>
          <w:rFonts w:hint="eastAsia" w:hAnsi="宋体" w:cs="宋体"/>
          <w:b/>
          <w:sz w:val="32"/>
          <w:szCs w:val="32"/>
        </w:rPr>
      </w:pPr>
    </w:p>
    <w:p>
      <w:pPr>
        <w:pStyle w:val="58"/>
        <w:rPr>
          <w:rFonts w:hint="eastAsia" w:hAnsi="宋体" w:cs="宋体"/>
          <w:b/>
          <w:sz w:val="32"/>
          <w:szCs w:val="32"/>
        </w:rPr>
      </w:pPr>
    </w:p>
    <w:p>
      <w:pPr>
        <w:pStyle w:val="58"/>
        <w:rPr>
          <w:rFonts w:hint="eastAsia" w:hAnsi="宋体" w:cs="宋体"/>
          <w:b/>
          <w:sz w:val="32"/>
          <w:szCs w:val="32"/>
        </w:rPr>
      </w:pPr>
    </w:p>
    <w:p>
      <w:pPr>
        <w:pStyle w:val="58"/>
        <w:rPr>
          <w:rFonts w:hint="eastAsia" w:hAnsi="宋体" w:cs="宋体"/>
          <w:b/>
          <w:sz w:val="32"/>
          <w:szCs w:val="32"/>
        </w:rPr>
      </w:pPr>
    </w:p>
    <w:p>
      <w:pPr>
        <w:pStyle w:val="58"/>
        <w:rPr>
          <w:rFonts w:hint="eastAsia" w:hAnsi="宋体" w:cs="宋体"/>
          <w:b/>
          <w:sz w:val="32"/>
          <w:szCs w:val="32"/>
        </w:rPr>
      </w:pPr>
    </w:p>
    <w:p>
      <w:pPr>
        <w:pStyle w:val="259"/>
        <w:rPr>
          <w:rFonts w:hint="eastAsia" w:ascii="宋体" w:hAnsi="宋体" w:cs="宋体"/>
          <w:b/>
          <w:sz w:val="32"/>
          <w:szCs w:val="32"/>
        </w:rPr>
      </w:pPr>
    </w:p>
    <w:p>
      <w:pPr>
        <w:pStyle w:val="259"/>
        <w:rPr>
          <w:rFonts w:hint="eastAsia" w:ascii="宋体" w:hAnsi="宋体" w:cs="宋体"/>
          <w:b/>
          <w:sz w:val="32"/>
          <w:szCs w:val="32"/>
        </w:rPr>
      </w:pPr>
    </w:p>
    <w:p>
      <w:pPr>
        <w:snapToGrid w:val="0"/>
        <w:ind w:firstLine="643" w:firstLineChars="200"/>
        <w:jc w:val="center"/>
        <w:rPr>
          <w:rFonts w:hint="eastAsia" w:ascii="宋体" w:hAnsi="宋体" w:cs="宋体"/>
          <w:b/>
          <w:sz w:val="32"/>
          <w:szCs w:val="32"/>
        </w:rPr>
      </w:pPr>
      <w:r>
        <w:rPr>
          <w:rFonts w:hint="eastAsia" w:ascii="宋体" w:hAnsi="宋体" w:cs="宋体"/>
          <w:b/>
          <w:sz w:val="32"/>
          <w:szCs w:val="32"/>
        </w:rPr>
        <w:t>报价明细清单</w:t>
      </w:r>
    </w:p>
    <w:p>
      <w:pPr>
        <w:snapToGrid w:val="0"/>
        <w:spacing w:line="360" w:lineRule="auto"/>
        <w:jc w:val="left"/>
        <w:rPr>
          <w:rFonts w:hint="eastAsia" w:ascii="宋体" w:hAnsi="宋体" w:cs="宋体"/>
          <w:sz w:val="24"/>
        </w:rPr>
      </w:pPr>
      <w:r>
        <w:rPr>
          <w:rFonts w:hint="eastAsia" w:ascii="宋体" w:hAnsi="宋体" w:cs="宋体"/>
          <w:sz w:val="24"/>
        </w:rPr>
        <w:t>项目名称：                                         项目编号：</w:t>
      </w:r>
    </w:p>
    <w:tbl>
      <w:tblPr>
        <w:tblStyle w:val="60"/>
        <w:tblW w:w="5254" w:type="pct"/>
        <w:jc w:val="center"/>
        <w:tblLayout w:type="fixed"/>
        <w:tblCellMar>
          <w:top w:w="0" w:type="dxa"/>
          <w:left w:w="108" w:type="dxa"/>
          <w:bottom w:w="0" w:type="dxa"/>
          <w:right w:w="108" w:type="dxa"/>
        </w:tblCellMar>
      </w:tblPr>
      <w:tblGrid>
        <w:gridCol w:w="631"/>
        <w:gridCol w:w="1531"/>
        <w:gridCol w:w="1887"/>
        <w:gridCol w:w="888"/>
        <w:gridCol w:w="846"/>
        <w:gridCol w:w="820"/>
        <w:gridCol w:w="1268"/>
        <w:gridCol w:w="1079"/>
      </w:tblGrid>
      <w:tr>
        <w:tblPrEx>
          <w:tblCellMar>
            <w:top w:w="0" w:type="dxa"/>
            <w:left w:w="108" w:type="dxa"/>
            <w:bottom w:w="0" w:type="dxa"/>
            <w:right w:w="108" w:type="dxa"/>
          </w:tblCellMar>
        </w:tblPrEx>
        <w:trPr>
          <w:trHeight w:val="1230" w:hRule="atLeast"/>
          <w:jc w:val="center"/>
        </w:trPr>
        <w:tc>
          <w:tcPr>
            <w:tcW w:w="352" w:type="pct"/>
            <w:tcBorders>
              <w:top w:val="single" w:color="auto" w:sz="4" w:space="0"/>
              <w:left w:val="single" w:color="auto" w:sz="4" w:space="0"/>
              <w:bottom w:val="single" w:color="000000"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序号</w:t>
            </w:r>
          </w:p>
        </w:tc>
        <w:tc>
          <w:tcPr>
            <w:tcW w:w="855" w:type="pct"/>
            <w:tcBorders>
              <w:top w:val="single" w:color="auto" w:sz="4" w:space="0"/>
              <w:left w:val="single" w:color="auto" w:sz="4" w:space="0"/>
              <w:bottom w:val="single" w:color="000000" w:sz="4" w:space="0"/>
              <w:right w:val="single" w:color="auto" w:sz="4" w:space="0"/>
            </w:tcBorders>
            <w:noWrap w:val="0"/>
            <w:vAlign w:val="center"/>
          </w:tcPr>
          <w:p>
            <w:pPr>
              <w:widowControl/>
              <w:spacing w:line="360" w:lineRule="auto"/>
              <w:jc w:val="center"/>
              <w:rPr>
                <w:rFonts w:ascii="宋体" w:hAnsi="宋体" w:cs="宋体"/>
                <w:kern w:val="0"/>
                <w:sz w:val="24"/>
              </w:rPr>
            </w:pPr>
            <w:r>
              <w:rPr>
                <w:rFonts w:hint="eastAsia" w:ascii="宋体" w:hAnsi="宋体" w:cs="宋体"/>
                <w:kern w:val="0"/>
                <w:sz w:val="24"/>
              </w:rPr>
              <w:t>采购内容</w:t>
            </w:r>
          </w:p>
        </w:tc>
        <w:tc>
          <w:tcPr>
            <w:tcW w:w="1054" w:type="pct"/>
            <w:tcBorders>
              <w:top w:val="single" w:color="auto" w:sz="4" w:space="0"/>
              <w:left w:val="nil"/>
              <w:bottom w:val="single" w:color="auto" w:sz="4" w:space="0"/>
              <w:right w:val="single" w:color="000000" w:sz="4" w:space="0"/>
            </w:tcBorders>
            <w:noWrap w:val="0"/>
            <w:vAlign w:val="center"/>
          </w:tcPr>
          <w:p>
            <w:pPr>
              <w:spacing w:line="360" w:lineRule="auto"/>
              <w:jc w:val="center"/>
              <w:rPr>
                <w:rFonts w:hint="eastAsia" w:ascii="宋体" w:hAnsi="宋体" w:cs="宋体"/>
                <w:kern w:val="0"/>
                <w:sz w:val="24"/>
              </w:rPr>
            </w:pPr>
            <w:r>
              <w:rPr>
                <w:rFonts w:hint="eastAsia" w:ascii="宋体" w:hAnsi="宋体" w:cs="宋体"/>
                <w:bCs/>
                <w:sz w:val="24"/>
                <w:lang w:val="zh-CN"/>
              </w:rPr>
              <w:t>投标技术参数</w:t>
            </w:r>
          </w:p>
        </w:tc>
        <w:tc>
          <w:tcPr>
            <w:tcW w:w="496" w:type="pct"/>
            <w:tcBorders>
              <w:top w:val="single" w:color="auto" w:sz="4" w:space="0"/>
              <w:left w:val="single" w:color="auto" w:sz="4" w:space="0"/>
              <w:bottom w:val="single" w:color="000000"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品牌型号</w:t>
            </w:r>
          </w:p>
        </w:tc>
        <w:tc>
          <w:tcPr>
            <w:tcW w:w="473" w:type="pct"/>
            <w:tcBorders>
              <w:top w:val="single" w:color="auto" w:sz="4" w:space="0"/>
              <w:left w:val="single" w:color="auto" w:sz="4" w:space="0"/>
              <w:bottom w:val="single" w:color="000000"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单位</w:t>
            </w:r>
          </w:p>
        </w:tc>
        <w:tc>
          <w:tcPr>
            <w:tcW w:w="458" w:type="pct"/>
            <w:tcBorders>
              <w:top w:val="single" w:color="auto" w:sz="4" w:space="0"/>
              <w:left w:val="single" w:color="auto" w:sz="4" w:space="0"/>
              <w:bottom w:val="single" w:color="000000"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数量</w:t>
            </w:r>
          </w:p>
        </w:tc>
        <w:tc>
          <w:tcPr>
            <w:tcW w:w="705" w:type="pct"/>
            <w:tcBorders>
              <w:top w:val="single" w:color="auto" w:sz="4" w:space="0"/>
              <w:left w:val="single" w:color="auto" w:sz="4" w:space="0"/>
              <w:bottom w:val="single" w:color="000000"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单价（元）</w:t>
            </w:r>
          </w:p>
        </w:tc>
        <w:tc>
          <w:tcPr>
            <w:tcW w:w="603" w:type="pct"/>
            <w:tcBorders>
              <w:top w:val="single" w:color="auto" w:sz="4" w:space="0"/>
              <w:left w:val="single" w:color="auto" w:sz="4" w:space="0"/>
              <w:bottom w:val="single" w:color="000000"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小计</w:t>
            </w:r>
          </w:p>
          <w:p>
            <w:pPr>
              <w:widowControl/>
              <w:spacing w:line="360" w:lineRule="auto"/>
              <w:jc w:val="center"/>
              <w:rPr>
                <w:rFonts w:hint="eastAsia" w:ascii="宋体" w:hAnsi="宋体" w:cs="宋体"/>
                <w:kern w:val="0"/>
                <w:sz w:val="24"/>
              </w:rPr>
            </w:pPr>
            <w:r>
              <w:rPr>
                <w:rFonts w:hint="eastAsia" w:ascii="宋体" w:hAnsi="宋体" w:cs="宋体"/>
                <w:kern w:val="0"/>
                <w:sz w:val="24"/>
              </w:rPr>
              <w:t>（元）</w:t>
            </w:r>
          </w:p>
        </w:tc>
      </w:tr>
      <w:tr>
        <w:tblPrEx>
          <w:tblCellMar>
            <w:top w:w="0" w:type="dxa"/>
            <w:left w:w="108" w:type="dxa"/>
            <w:bottom w:w="0" w:type="dxa"/>
            <w:right w:w="108" w:type="dxa"/>
          </w:tblCellMar>
        </w:tblPrEx>
        <w:trPr>
          <w:trHeight w:val="340" w:hRule="atLeast"/>
          <w:jc w:val="center"/>
        </w:trPr>
        <w:tc>
          <w:tcPr>
            <w:tcW w:w="35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1</w:t>
            </w:r>
          </w:p>
        </w:tc>
        <w:tc>
          <w:tcPr>
            <w:tcW w:w="855" w:type="pct"/>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rPr>
            </w:pPr>
          </w:p>
        </w:tc>
        <w:tc>
          <w:tcPr>
            <w:tcW w:w="1054"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496" w:type="pct"/>
            <w:tcBorders>
              <w:top w:val="nil"/>
              <w:left w:val="nil"/>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73" w:type="pct"/>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58"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7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603"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r>
      <w:tr>
        <w:tblPrEx>
          <w:tblCellMar>
            <w:top w:w="0" w:type="dxa"/>
            <w:left w:w="108" w:type="dxa"/>
            <w:bottom w:w="0" w:type="dxa"/>
            <w:right w:w="108" w:type="dxa"/>
          </w:tblCellMar>
        </w:tblPrEx>
        <w:trPr>
          <w:trHeight w:val="340" w:hRule="atLeast"/>
          <w:jc w:val="center"/>
        </w:trPr>
        <w:tc>
          <w:tcPr>
            <w:tcW w:w="35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2</w:t>
            </w:r>
          </w:p>
        </w:tc>
        <w:tc>
          <w:tcPr>
            <w:tcW w:w="855" w:type="pct"/>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rPr>
            </w:pPr>
          </w:p>
        </w:tc>
        <w:tc>
          <w:tcPr>
            <w:tcW w:w="1054"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496" w:type="pct"/>
            <w:tcBorders>
              <w:top w:val="nil"/>
              <w:left w:val="nil"/>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73" w:type="pct"/>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58"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7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603"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r>
      <w:tr>
        <w:tblPrEx>
          <w:tblCellMar>
            <w:top w:w="0" w:type="dxa"/>
            <w:left w:w="108" w:type="dxa"/>
            <w:bottom w:w="0" w:type="dxa"/>
            <w:right w:w="108" w:type="dxa"/>
          </w:tblCellMar>
        </w:tblPrEx>
        <w:trPr>
          <w:trHeight w:val="340" w:hRule="atLeast"/>
          <w:jc w:val="center"/>
        </w:trPr>
        <w:tc>
          <w:tcPr>
            <w:tcW w:w="35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3</w:t>
            </w:r>
          </w:p>
        </w:tc>
        <w:tc>
          <w:tcPr>
            <w:tcW w:w="855" w:type="pct"/>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rPr>
            </w:pPr>
          </w:p>
        </w:tc>
        <w:tc>
          <w:tcPr>
            <w:tcW w:w="1054"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496" w:type="pct"/>
            <w:tcBorders>
              <w:top w:val="nil"/>
              <w:left w:val="nil"/>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73" w:type="pct"/>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58"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7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603"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r>
      <w:tr>
        <w:tblPrEx>
          <w:tblCellMar>
            <w:top w:w="0" w:type="dxa"/>
            <w:left w:w="108" w:type="dxa"/>
            <w:bottom w:w="0" w:type="dxa"/>
            <w:right w:w="108" w:type="dxa"/>
          </w:tblCellMar>
        </w:tblPrEx>
        <w:trPr>
          <w:trHeight w:val="340" w:hRule="atLeast"/>
          <w:jc w:val="center"/>
        </w:trPr>
        <w:tc>
          <w:tcPr>
            <w:tcW w:w="35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4</w:t>
            </w:r>
          </w:p>
        </w:tc>
        <w:tc>
          <w:tcPr>
            <w:tcW w:w="855" w:type="pct"/>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rPr>
            </w:pPr>
          </w:p>
        </w:tc>
        <w:tc>
          <w:tcPr>
            <w:tcW w:w="1054"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496" w:type="pct"/>
            <w:tcBorders>
              <w:top w:val="nil"/>
              <w:left w:val="nil"/>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73" w:type="pct"/>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58"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7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603"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r>
      <w:tr>
        <w:tblPrEx>
          <w:tblCellMar>
            <w:top w:w="0" w:type="dxa"/>
            <w:left w:w="108" w:type="dxa"/>
            <w:bottom w:w="0" w:type="dxa"/>
            <w:right w:w="108" w:type="dxa"/>
          </w:tblCellMar>
        </w:tblPrEx>
        <w:trPr>
          <w:trHeight w:val="340" w:hRule="atLeast"/>
          <w:jc w:val="center"/>
        </w:trPr>
        <w:tc>
          <w:tcPr>
            <w:tcW w:w="35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5</w:t>
            </w:r>
          </w:p>
        </w:tc>
        <w:tc>
          <w:tcPr>
            <w:tcW w:w="855" w:type="pct"/>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rPr>
            </w:pPr>
          </w:p>
        </w:tc>
        <w:tc>
          <w:tcPr>
            <w:tcW w:w="1054"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496" w:type="pct"/>
            <w:tcBorders>
              <w:top w:val="nil"/>
              <w:left w:val="nil"/>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73" w:type="pct"/>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58"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7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603"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r>
      <w:tr>
        <w:tblPrEx>
          <w:tblCellMar>
            <w:top w:w="0" w:type="dxa"/>
            <w:left w:w="108" w:type="dxa"/>
            <w:bottom w:w="0" w:type="dxa"/>
            <w:right w:w="108" w:type="dxa"/>
          </w:tblCellMar>
        </w:tblPrEx>
        <w:trPr>
          <w:trHeight w:val="595" w:hRule="atLeast"/>
          <w:jc w:val="center"/>
        </w:trPr>
        <w:tc>
          <w:tcPr>
            <w:tcW w:w="35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6</w:t>
            </w:r>
          </w:p>
        </w:tc>
        <w:tc>
          <w:tcPr>
            <w:tcW w:w="855" w:type="pct"/>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rPr>
            </w:pPr>
          </w:p>
        </w:tc>
        <w:tc>
          <w:tcPr>
            <w:tcW w:w="1054"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496" w:type="pct"/>
            <w:tcBorders>
              <w:top w:val="nil"/>
              <w:left w:val="nil"/>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73" w:type="pct"/>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58"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7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603"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r>
      <w:tr>
        <w:tblPrEx>
          <w:tblCellMar>
            <w:top w:w="0" w:type="dxa"/>
            <w:left w:w="108" w:type="dxa"/>
            <w:bottom w:w="0" w:type="dxa"/>
            <w:right w:w="108" w:type="dxa"/>
          </w:tblCellMar>
        </w:tblPrEx>
        <w:trPr>
          <w:trHeight w:val="595" w:hRule="atLeast"/>
          <w:jc w:val="center"/>
        </w:trPr>
        <w:tc>
          <w:tcPr>
            <w:tcW w:w="35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kern w:val="0"/>
                <w:sz w:val="24"/>
              </w:rPr>
              <w:t>…</w:t>
            </w:r>
          </w:p>
        </w:tc>
        <w:tc>
          <w:tcPr>
            <w:tcW w:w="855" w:type="pct"/>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cs="宋体"/>
                <w:kern w:val="0"/>
                <w:sz w:val="24"/>
              </w:rPr>
            </w:pPr>
          </w:p>
        </w:tc>
        <w:tc>
          <w:tcPr>
            <w:tcW w:w="1054"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496" w:type="pct"/>
            <w:tcBorders>
              <w:top w:val="nil"/>
              <w:left w:val="nil"/>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73" w:type="pct"/>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cs="宋体"/>
                <w:kern w:val="0"/>
                <w:sz w:val="24"/>
              </w:rPr>
            </w:pPr>
          </w:p>
        </w:tc>
        <w:tc>
          <w:tcPr>
            <w:tcW w:w="458"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7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c>
          <w:tcPr>
            <w:tcW w:w="603"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r>
      <w:tr>
        <w:trPr>
          <w:trHeight w:val="920" w:hRule="atLeast"/>
          <w:jc w:val="center"/>
        </w:trPr>
        <w:tc>
          <w:tcPr>
            <w:tcW w:w="4396" w:type="pct"/>
            <w:gridSpan w:val="7"/>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r>
              <w:rPr>
                <w:rFonts w:hint="eastAsia" w:ascii="宋体" w:hAnsi="宋体" w:cs="宋体"/>
                <w:b/>
                <w:bCs/>
                <w:kern w:val="0"/>
                <w:sz w:val="24"/>
              </w:rPr>
              <w:t>投标报价合计（元）</w:t>
            </w:r>
          </w:p>
        </w:tc>
        <w:tc>
          <w:tcPr>
            <w:tcW w:w="603"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cs="宋体"/>
                <w:kern w:val="0"/>
                <w:sz w:val="24"/>
              </w:rPr>
            </w:pPr>
          </w:p>
        </w:tc>
      </w:tr>
    </w:tbl>
    <w:p>
      <w:pPr>
        <w:spacing w:line="360" w:lineRule="auto"/>
        <w:ind w:left="-2" w:leftChars="-1"/>
        <w:rPr>
          <w:rFonts w:hint="eastAsia" w:ascii="宋体" w:hAnsi="宋体" w:cs="宋体"/>
          <w:bCs/>
          <w:sz w:val="24"/>
        </w:rPr>
      </w:pPr>
      <w:r>
        <w:rPr>
          <w:rFonts w:hint="eastAsia" w:ascii="宋体" w:hAnsi="宋体" w:cs="宋体"/>
          <w:sz w:val="24"/>
        </w:rPr>
        <w:t>附： 1、供应商需按采购文件</w:t>
      </w:r>
      <w:r>
        <w:rPr>
          <w:rFonts w:hint="eastAsia" w:ascii="宋体" w:hAnsi="宋体" w:cs="宋体"/>
          <w:sz w:val="24"/>
          <w:lang w:val="zh-CN"/>
        </w:rPr>
        <w:t>的</w:t>
      </w:r>
      <w:r>
        <w:rPr>
          <w:rFonts w:hint="eastAsia" w:ascii="宋体" w:hAnsi="宋体" w:cs="宋体"/>
          <w:sz w:val="24"/>
        </w:rPr>
        <w:t>内容填写，行数不够请自行增加</w:t>
      </w:r>
      <w:r>
        <w:rPr>
          <w:rFonts w:hint="eastAsia" w:ascii="宋体" w:hAnsi="宋体" w:cs="宋体"/>
          <w:bCs/>
          <w:sz w:val="24"/>
        </w:rPr>
        <w:t>。</w:t>
      </w:r>
    </w:p>
    <w:p>
      <w:pPr>
        <w:spacing w:line="360" w:lineRule="auto"/>
        <w:ind w:left="-2" w:leftChars="-1" w:firstLine="600" w:firstLineChars="250"/>
        <w:rPr>
          <w:rFonts w:hint="eastAsia" w:ascii="宋体" w:hAnsi="宋体" w:cs="宋体"/>
          <w:sz w:val="24"/>
        </w:rPr>
      </w:pPr>
      <w:r>
        <w:rPr>
          <w:rFonts w:hint="eastAsia" w:ascii="宋体" w:hAnsi="宋体" w:cs="宋体"/>
          <w:sz w:val="24"/>
        </w:rPr>
        <w:t>2、有关本项目实施所需的</w:t>
      </w:r>
      <w:r>
        <w:rPr>
          <w:rFonts w:hint="eastAsia" w:ascii="宋体" w:hAnsi="宋体" w:cs="宋体"/>
          <w:sz w:val="24"/>
          <w:lang w:val="en-US" w:eastAsia="zh-CN"/>
        </w:rPr>
        <w:t>货款</w:t>
      </w:r>
      <w:r>
        <w:rPr>
          <w:rFonts w:hint="eastAsia" w:ascii="宋体" w:hAnsi="宋体"/>
          <w:sz w:val="24"/>
        </w:rPr>
        <w:t>、安装调试、服务费、培训、检测验收、税金及交付使用后维保等</w:t>
      </w:r>
      <w:r>
        <w:rPr>
          <w:rFonts w:hint="eastAsia" w:ascii="宋体" w:hAnsi="宋体" w:cs="宋体"/>
          <w:sz w:val="24"/>
        </w:rPr>
        <w:t>完成本项目所需的一切费用均计入报价。明细清单合计总价应与投标（开标）一览表报价保持一致。</w:t>
      </w:r>
    </w:p>
    <w:p>
      <w:pPr>
        <w:spacing w:line="360" w:lineRule="auto"/>
        <w:ind w:left="-2" w:leftChars="-1" w:firstLine="600" w:firstLineChars="250"/>
        <w:rPr>
          <w:rFonts w:hint="eastAsia" w:ascii="宋体" w:hAnsi="宋体" w:cs="宋体"/>
          <w:sz w:val="24"/>
        </w:rPr>
      </w:pPr>
      <w:r>
        <w:rPr>
          <w:rFonts w:hint="eastAsia" w:ascii="宋体" w:hAnsi="宋体" w:cs="宋体"/>
          <w:sz w:val="24"/>
        </w:rPr>
        <w:t>3、供应商所供的报价内容应符合采购文件第二部分提出的要求，如有偏离，必须在技术文件中作相应的说明。</w:t>
      </w:r>
    </w:p>
    <w:p>
      <w:pPr>
        <w:spacing w:line="360" w:lineRule="auto"/>
        <w:rPr>
          <w:rFonts w:hint="eastAsia" w:ascii="宋体" w:hAnsi="宋体" w:cs="宋体"/>
          <w:sz w:val="24"/>
        </w:rPr>
      </w:pP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u w:val="single"/>
          <w:lang w:val="zh-CN"/>
        </w:rPr>
      </w:pPr>
      <w:r>
        <w:rPr>
          <w:rFonts w:hint="eastAsia" w:ascii="宋体" w:hAnsi="宋体" w:cs="宋体"/>
          <w:kern w:val="0"/>
          <w:sz w:val="24"/>
        </w:rPr>
        <w:t>日期：  年  月   日</w:t>
      </w:r>
    </w:p>
    <w:p>
      <w:pPr>
        <w:snapToGrid w:val="0"/>
        <w:spacing w:line="360" w:lineRule="auto"/>
        <w:rPr>
          <w:rFonts w:hint="eastAsia" w:ascii="宋体" w:hAnsi="宋体" w:cs="宋体"/>
          <w:b/>
          <w:sz w:val="24"/>
        </w:rPr>
      </w:pPr>
    </w:p>
    <w:p>
      <w:pPr>
        <w:pStyle w:val="3"/>
        <w:numPr>
          <w:ilvl w:val="0"/>
          <w:numId w:val="0"/>
        </w:numPr>
        <w:rPr>
          <w:rFonts w:hint="eastAsia"/>
        </w:rPr>
      </w:pPr>
    </w:p>
    <w:p>
      <w:pPr>
        <w:jc w:val="center"/>
        <w:rPr>
          <w:rFonts w:hint="eastAsia" w:ascii="宋体" w:hAnsi="宋体" w:cs="宋体"/>
          <w:b/>
          <w:sz w:val="30"/>
          <w:szCs w:val="30"/>
        </w:rPr>
      </w:pPr>
    </w:p>
    <w:p>
      <w:pPr>
        <w:jc w:val="center"/>
        <w:rPr>
          <w:rFonts w:hint="eastAsia" w:ascii="宋体" w:hAnsi="宋体" w:cs="宋体"/>
          <w:b/>
          <w:sz w:val="30"/>
          <w:szCs w:val="30"/>
        </w:rPr>
      </w:pPr>
    </w:p>
    <w:p>
      <w:pPr>
        <w:jc w:val="center"/>
        <w:rPr>
          <w:rFonts w:hint="eastAsia" w:ascii="宋体" w:hAnsi="宋体" w:cs="宋体"/>
          <w:b/>
          <w:sz w:val="30"/>
          <w:szCs w:val="30"/>
        </w:rPr>
      </w:pPr>
    </w:p>
    <w:p>
      <w:pPr>
        <w:keepNext w:val="0"/>
        <w:keepLines w:val="0"/>
        <w:pageBreakBefore w:val="0"/>
        <w:widowControl/>
        <w:suppressLineNumbers w:val="0"/>
        <w:kinsoku/>
        <w:wordWrap/>
        <w:overflowPunct/>
        <w:topLinePunct w:val="0"/>
        <w:autoSpaceDE/>
        <w:autoSpaceDN/>
        <w:bidi w:val="0"/>
        <w:adjustRightInd w:val="0"/>
        <w:snapToGrid/>
        <w:spacing w:line="588" w:lineRule="exact"/>
        <w:jc w:val="center"/>
        <w:textAlignment w:val="auto"/>
        <w:rPr>
          <w:rFonts w:hint="eastAsia" w:ascii="宋体" w:hAnsi="宋体" w:eastAsia="宋体" w:cs="宋体"/>
          <w:b/>
          <w:sz w:val="30"/>
          <w:szCs w:val="30"/>
          <w:lang w:val="en-US" w:eastAsia="zh-CN"/>
        </w:rPr>
      </w:pPr>
      <w:r>
        <w:rPr>
          <w:rFonts w:hint="eastAsia" w:ascii="宋体" w:hAnsi="宋体" w:eastAsia="宋体" w:cs="宋体"/>
          <w:b/>
          <w:sz w:val="30"/>
          <w:szCs w:val="30"/>
        </w:rPr>
        <w:t>中小企业声明函</w:t>
      </w:r>
      <w:r>
        <w:rPr>
          <w:rFonts w:hint="eastAsia" w:ascii="宋体" w:hAnsi="宋体" w:eastAsia="宋体" w:cs="宋体"/>
          <w:b/>
          <w:sz w:val="30"/>
          <w:szCs w:val="30"/>
          <w:lang w:val="en-US" w:eastAsia="zh-CN"/>
        </w:rPr>
        <w:t>（货物）</w:t>
      </w:r>
    </w:p>
    <w:p>
      <w:pPr>
        <w:pStyle w:val="59"/>
        <w:rPr>
          <w:rFonts w:hint="eastAsia"/>
        </w:rPr>
      </w:pPr>
    </w:p>
    <w:p>
      <w:pPr>
        <w:keepNext w:val="0"/>
        <w:keepLines w:val="0"/>
        <w:pageBreakBefore w:val="0"/>
        <w:widowControl/>
        <w:suppressLineNumbers w:val="0"/>
        <w:kinsoku/>
        <w:wordWrap/>
        <w:overflowPunct/>
        <w:topLinePunct w:val="0"/>
        <w:autoSpaceDE/>
        <w:autoSpaceDN/>
        <w:bidi w:val="0"/>
        <w:adjustRightInd w:val="0"/>
        <w:snapToGrid/>
        <w:spacing w:line="588"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 （联合体）参加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采购活动，提供的货物全部由符合政策要求的中小企业制造。相关企业（含联合体中的中小企业、签订分包意向协议的中小企业）的具体情况如下： </w:t>
      </w:r>
    </w:p>
    <w:p>
      <w:pPr>
        <w:keepNext w:val="0"/>
        <w:keepLines w:val="0"/>
        <w:pageBreakBefore w:val="0"/>
        <w:widowControl/>
        <w:suppressLineNumbers w:val="0"/>
        <w:kinsoku/>
        <w:wordWrap/>
        <w:overflowPunct/>
        <w:topLinePunct w:val="0"/>
        <w:autoSpaceDE/>
        <w:autoSpaceDN/>
        <w:bidi w:val="0"/>
        <w:adjustRightInd w:val="0"/>
        <w:snapToGrid/>
        <w:spacing w:line="588"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 xml:space="preserve">（采购文件中明确的所属行业） </w:t>
      </w:r>
      <w:r>
        <w:rPr>
          <w:rFonts w:hint="eastAsia" w:ascii="宋体" w:hAnsi="宋体" w:eastAsia="宋体" w:cs="宋体"/>
          <w:i/>
          <w:iCs/>
          <w:color w:val="000000"/>
          <w:kern w:val="0"/>
          <w:sz w:val="24"/>
          <w:szCs w:val="24"/>
          <w:lang w:val="en-US" w:eastAsia="zh-CN" w:bidi="ar"/>
        </w:rPr>
        <w:t>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万元1，属于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spacing w:line="588"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 </w:t>
      </w:r>
      <w:r>
        <w:rPr>
          <w:rFonts w:hint="eastAsia" w:ascii="宋体" w:hAnsi="宋体" w:eastAsia="宋体" w:cs="宋体"/>
          <w:i/>
          <w:iCs/>
          <w:color w:val="000000"/>
          <w:kern w:val="0"/>
          <w:sz w:val="24"/>
          <w:szCs w:val="24"/>
          <w:u w:val="single"/>
          <w:lang w:val="en-US" w:eastAsia="zh-CN" w:bidi="ar"/>
        </w:rPr>
        <w:t>（标的名称）</w:t>
      </w:r>
      <w:r>
        <w:rPr>
          <w:rFonts w:hint="eastAsia" w:ascii="宋体" w:hAnsi="宋体" w:eastAsia="宋体" w:cs="宋体"/>
          <w:i/>
          <w:iCs/>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i/>
          <w:iCs/>
          <w:color w:val="000000"/>
          <w:kern w:val="0"/>
          <w:sz w:val="24"/>
          <w:szCs w:val="24"/>
          <w:lang w:val="en-US" w:eastAsia="zh-CN" w:bidi="ar"/>
        </w:rPr>
        <w:t>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spacing w:line="588"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val="0"/>
        <w:snapToGrid/>
        <w:spacing w:line="588"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val="0"/>
        <w:snapToGrid/>
        <w:spacing w:line="588"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val="0"/>
        <w:snapToGrid/>
        <w:spacing w:line="588" w:lineRule="exact"/>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 </w:t>
      </w:r>
    </w:p>
    <w:p>
      <w:pPr>
        <w:keepNext w:val="0"/>
        <w:keepLines w:val="0"/>
        <w:pageBreakBefore w:val="0"/>
        <w:widowControl/>
        <w:suppressLineNumbers w:val="0"/>
        <w:kinsoku/>
        <w:wordWrap/>
        <w:overflowPunct/>
        <w:topLinePunct w:val="0"/>
        <w:autoSpaceDE/>
        <w:autoSpaceDN/>
        <w:bidi w:val="0"/>
        <w:adjustRightInd w:val="0"/>
        <w:snapToGrid/>
        <w:spacing w:line="588" w:lineRule="exact"/>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日 期： </w:t>
      </w:r>
    </w:p>
    <w:p>
      <w:pPr>
        <w:keepNext w:val="0"/>
        <w:keepLines w:val="0"/>
        <w:widowControl/>
        <w:suppressLineNumbers w:val="0"/>
        <w:jc w:val="left"/>
      </w:pPr>
      <w:r>
        <w:rPr>
          <w:rFonts w:hint="default" w:ascii="Times New Roman" w:hAnsi="Times New Roman" w:eastAsia="宋体" w:cs="Times New Roman"/>
          <w:color w:val="000000"/>
          <w:kern w:val="0"/>
          <w:sz w:val="11"/>
          <w:szCs w:val="11"/>
          <w:lang w:val="en-US" w:eastAsia="zh-CN" w:bidi="ar"/>
        </w:rPr>
        <w:t>1</w:t>
      </w:r>
      <w:r>
        <w:rPr>
          <w:rFonts w:hint="eastAsia" w:ascii="宋体" w:hAnsi="宋体" w:eastAsia="宋体" w:cs="宋体"/>
          <w:color w:val="000000"/>
          <w:kern w:val="0"/>
          <w:sz w:val="18"/>
          <w:szCs w:val="18"/>
          <w:lang w:val="en-US" w:eastAsia="zh-CN" w:bidi="ar"/>
        </w:rPr>
        <w:t>从业人员、营业收入、资产总额填报上一年度数据，无上一年度数据的新成立企业可不填报。</w:t>
      </w:r>
    </w:p>
    <w:p>
      <w:pPr>
        <w:snapToGrid w:val="0"/>
        <w:spacing w:line="360" w:lineRule="auto"/>
        <w:jc w:val="left"/>
        <w:rPr>
          <w:rFonts w:hint="eastAsia" w:ascii="宋体" w:hAnsi="宋体" w:cs="宋体"/>
          <w:b/>
        </w:rPr>
      </w:pPr>
    </w:p>
    <w:p>
      <w:pPr>
        <w:snapToGrid w:val="0"/>
        <w:spacing w:line="320" w:lineRule="exact"/>
        <w:rPr>
          <w:rFonts w:hint="eastAsia" w:ascii="宋体" w:hAnsi="宋体" w:cs="宋体"/>
          <w:b/>
          <w:sz w:val="32"/>
          <w:szCs w:val="32"/>
        </w:rPr>
      </w:pPr>
    </w:p>
    <w:p>
      <w:pPr>
        <w:pStyle w:val="59"/>
        <w:rPr>
          <w:rFonts w:hint="eastAsia" w:ascii="宋体" w:hAnsi="宋体" w:cs="宋体"/>
          <w:b/>
          <w:sz w:val="32"/>
          <w:szCs w:val="32"/>
        </w:rPr>
      </w:pPr>
    </w:p>
    <w:p>
      <w:pPr>
        <w:pStyle w:val="59"/>
        <w:rPr>
          <w:rFonts w:hint="eastAsia" w:ascii="宋体" w:hAnsi="宋体" w:cs="宋体"/>
          <w:b/>
          <w:sz w:val="32"/>
          <w:szCs w:val="32"/>
        </w:rPr>
      </w:pPr>
    </w:p>
    <w:p>
      <w:pPr>
        <w:pStyle w:val="59"/>
        <w:rPr>
          <w:rFonts w:hint="eastAsia" w:ascii="宋体" w:hAnsi="宋体" w:cs="宋体"/>
          <w:b/>
          <w:sz w:val="32"/>
          <w:szCs w:val="32"/>
        </w:rPr>
      </w:pPr>
    </w:p>
    <w:p>
      <w:pPr>
        <w:pStyle w:val="59"/>
        <w:rPr>
          <w:rFonts w:hint="eastAsia" w:ascii="宋体" w:hAnsi="宋体" w:cs="宋体"/>
          <w:b/>
          <w:sz w:val="32"/>
          <w:szCs w:val="32"/>
        </w:rPr>
      </w:pPr>
    </w:p>
    <w:p>
      <w:pPr>
        <w:pStyle w:val="96"/>
        <w:ind w:firstLine="420"/>
        <w:rPr>
          <w:rFonts w:hint="eastAsia"/>
        </w:rPr>
      </w:pPr>
    </w:p>
    <w:p>
      <w:pPr>
        <w:jc w:val="center"/>
        <w:rPr>
          <w:rFonts w:hint="eastAsia" w:ascii="宋体" w:hAnsi="宋体" w:cs="宋体"/>
          <w:b/>
          <w:sz w:val="30"/>
          <w:szCs w:val="30"/>
        </w:rPr>
      </w:pPr>
      <w:r>
        <w:rPr>
          <w:rFonts w:hint="eastAsia" w:ascii="宋体" w:hAnsi="宋体" w:cs="宋体"/>
          <w:b/>
          <w:sz w:val="30"/>
          <w:szCs w:val="30"/>
        </w:rPr>
        <w:t>残疾人福利性单位声明函</w:t>
      </w:r>
    </w:p>
    <w:p>
      <w:pPr>
        <w:jc w:val="center"/>
        <w:rPr>
          <w:rFonts w:hint="eastAsia" w:ascii="宋体" w:hAnsi="宋体" w:cs="宋体"/>
          <w:b/>
          <w:sz w:val="30"/>
          <w:szCs w:val="30"/>
        </w:rPr>
      </w:pPr>
      <w:r>
        <w:rPr>
          <w:rFonts w:hint="eastAsia" w:ascii="宋体" w:hAnsi="宋体" w:cs="宋体"/>
          <w:b/>
          <w:sz w:val="30"/>
          <w:szCs w:val="30"/>
        </w:rPr>
        <w:t>（非残疾人福利性单位不用提供）</w:t>
      </w:r>
    </w:p>
    <w:p>
      <w:pPr>
        <w:spacing w:line="588" w:lineRule="exact"/>
        <w:rPr>
          <w:rFonts w:hint="eastAsia" w:ascii="仿宋" w:hAnsi="仿宋" w:eastAsia="仿宋" w:cs="仿宋"/>
          <w:b/>
          <w:spacing w:val="6"/>
          <w:sz w:val="30"/>
          <w:szCs w:val="30"/>
        </w:rPr>
      </w:pPr>
    </w:p>
    <w:p>
      <w:pPr>
        <w:spacing w:line="588" w:lineRule="exact"/>
        <w:ind w:firstLine="504" w:firstLineChars="200"/>
        <w:rPr>
          <w:rFonts w:hint="eastAsia" w:ascii="宋体" w:hAnsi="宋体" w:cs="宋体"/>
          <w:spacing w:val="6"/>
          <w:sz w:val="24"/>
        </w:rPr>
      </w:pPr>
      <w:r>
        <w:rPr>
          <w:rFonts w:hint="eastAsia" w:ascii="宋体" w:hAnsi="宋体" w:cs="宋体"/>
          <w:spacing w:val="6"/>
          <w:sz w:val="24"/>
        </w:rPr>
        <w:t>本单位郑重声明，根据《财政部 民政部 中国残疾人联合会关于促进残疾人就业政府采购政策的通知》（财库</w:t>
      </w:r>
      <w:r>
        <w:rPr>
          <w:rFonts w:hint="eastAsia" w:ascii="宋体" w:hAnsi="宋体" w:cs="宋体"/>
          <w:sz w:val="24"/>
        </w:rPr>
        <w:t>〔2017〕141</w:t>
      </w:r>
      <w:r>
        <w:rPr>
          <w:rFonts w:hint="eastAsia" w:ascii="宋体" w:hAnsi="宋体" w:cs="宋体"/>
          <w:spacing w:val="6"/>
          <w:sz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cs="宋体"/>
          <w:spacing w:val="6"/>
          <w:sz w:val="24"/>
        </w:rPr>
      </w:pPr>
      <w:r>
        <w:rPr>
          <w:rFonts w:hint="eastAsia" w:ascii="宋体" w:hAnsi="宋体" w:cs="宋体"/>
          <w:spacing w:val="6"/>
          <w:sz w:val="24"/>
        </w:rPr>
        <w:t>本单位对上述声明的真实性负责。如有虚假，将依法承担相应责任。</w:t>
      </w:r>
    </w:p>
    <w:p>
      <w:pPr>
        <w:spacing w:line="588" w:lineRule="exact"/>
        <w:rPr>
          <w:rFonts w:hint="eastAsia" w:ascii="宋体" w:hAnsi="宋体" w:cs="宋体"/>
          <w:spacing w:val="6"/>
          <w:sz w:val="24"/>
        </w:rPr>
      </w:pP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u w:val="single"/>
          <w:lang w:val="zh-CN"/>
        </w:rPr>
      </w:pPr>
      <w:r>
        <w:rPr>
          <w:rFonts w:hint="eastAsia" w:ascii="宋体" w:hAnsi="宋体" w:cs="宋体"/>
          <w:kern w:val="0"/>
          <w:sz w:val="24"/>
        </w:rPr>
        <w:t>日期：  年  月   日</w:t>
      </w:r>
    </w:p>
    <w:p>
      <w:pPr>
        <w:snapToGrid w:val="0"/>
        <w:spacing w:line="320" w:lineRule="exact"/>
        <w:ind w:firstLine="2626" w:firstLineChars="1090"/>
        <w:rPr>
          <w:rFonts w:hint="eastAsia" w:ascii="宋体" w:hAnsi="宋体" w:cs="宋体"/>
          <w:b/>
          <w:sz w:val="24"/>
        </w:rPr>
      </w:pPr>
    </w:p>
    <w:p>
      <w:pPr>
        <w:snapToGrid w:val="0"/>
        <w:spacing w:line="320" w:lineRule="exact"/>
        <w:ind w:firstLine="3502" w:firstLineChars="1090"/>
        <w:rPr>
          <w:rFonts w:hint="eastAsia" w:ascii="宋体" w:hAnsi="宋体" w:cs="宋体"/>
          <w:b/>
          <w:sz w:val="32"/>
          <w:szCs w:val="32"/>
        </w:rPr>
      </w:pPr>
    </w:p>
    <w:p>
      <w:pPr>
        <w:snapToGrid w:val="0"/>
        <w:spacing w:line="320" w:lineRule="exact"/>
        <w:ind w:firstLine="3502" w:firstLineChars="1090"/>
        <w:rPr>
          <w:rFonts w:hint="eastAsia" w:ascii="宋体" w:hAnsi="宋体" w:cs="宋体"/>
          <w:b/>
          <w:sz w:val="32"/>
          <w:szCs w:val="32"/>
        </w:rPr>
      </w:pPr>
    </w:p>
    <w:p>
      <w:pPr>
        <w:snapToGrid w:val="0"/>
        <w:spacing w:line="320" w:lineRule="exact"/>
        <w:ind w:firstLine="3502" w:firstLineChars="1090"/>
        <w:rPr>
          <w:rFonts w:hint="eastAsia" w:ascii="宋体" w:hAnsi="宋体" w:cs="宋体"/>
          <w:b/>
          <w:sz w:val="32"/>
          <w:szCs w:val="32"/>
        </w:rPr>
      </w:pPr>
    </w:p>
    <w:p>
      <w:pPr>
        <w:snapToGrid w:val="0"/>
        <w:spacing w:line="320" w:lineRule="exact"/>
        <w:ind w:firstLine="3502" w:firstLineChars="1090"/>
        <w:rPr>
          <w:rFonts w:hint="eastAsia" w:ascii="宋体" w:hAnsi="宋体" w:cs="宋体"/>
          <w:b/>
          <w:sz w:val="32"/>
          <w:szCs w:val="32"/>
        </w:rPr>
      </w:pPr>
    </w:p>
    <w:p>
      <w:pPr>
        <w:snapToGrid w:val="0"/>
        <w:spacing w:line="320" w:lineRule="exact"/>
        <w:ind w:firstLine="3502" w:firstLineChars="1090"/>
        <w:rPr>
          <w:rFonts w:hint="eastAsia" w:ascii="宋体" w:hAnsi="宋体" w:cs="宋体"/>
          <w:b/>
          <w:sz w:val="32"/>
          <w:szCs w:val="32"/>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pStyle w:val="23"/>
        <w:rPr>
          <w:rFonts w:hint="eastAsia"/>
        </w:rPr>
      </w:pPr>
    </w:p>
    <w:p>
      <w:pPr>
        <w:snapToGrid w:val="0"/>
        <w:spacing w:line="320" w:lineRule="exact"/>
        <w:ind w:firstLine="3502" w:firstLineChars="1090"/>
        <w:rPr>
          <w:rFonts w:hint="eastAsia" w:ascii="宋体" w:hAnsi="宋体" w:cs="宋体"/>
          <w:b/>
          <w:sz w:val="32"/>
          <w:szCs w:val="32"/>
        </w:rPr>
      </w:pPr>
    </w:p>
    <w:p>
      <w:pPr>
        <w:snapToGrid w:val="0"/>
        <w:spacing w:line="320" w:lineRule="exact"/>
        <w:rPr>
          <w:rFonts w:hint="eastAsia" w:ascii="宋体" w:hAnsi="宋体" w:cs="宋体"/>
          <w:b/>
          <w:sz w:val="32"/>
          <w:szCs w:val="32"/>
        </w:rPr>
      </w:pPr>
    </w:p>
    <w:p>
      <w:pPr>
        <w:snapToGrid w:val="0"/>
        <w:spacing w:line="320" w:lineRule="exact"/>
        <w:jc w:val="center"/>
        <w:rPr>
          <w:rFonts w:hint="eastAsia" w:ascii="宋体" w:hAnsi="宋体" w:cs="宋体"/>
          <w:b/>
          <w:sz w:val="32"/>
          <w:szCs w:val="32"/>
        </w:rPr>
      </w:pPr>
      <w:r>
        <w:rPr>
          <w:rFonts w:hint="eastAsia" w:ascii="宋体" w:hAnsi="宋体" w:cs="宋体"/>
          <w:b/>
          <w:sz w:val="32"/>
          <w:szCs w:val="32"/>
        </w:rPr>
        <w:t>监狱企业声明函</w:t>
      </w:r>
    </w:p>
    <w:p>
      <w:pPr>
        <w:snapToGrid w:val="0"/>
        <w:spacing w:line="320" w:lineRule="exact"/>
        <w:jc w:val="center"/>
        <w:rPr>
          <w:rFonts w:hint="eastAsia" w:ascii="宋体" w:hAnsi="宋体" w:cs="宋体"/>
          <w:b/>
          <w:sz w:val="32"/>
          <w:szCs w:val="32"/>
        </w:rPr>
      </w:pPr>
      <w:r>
        <w:rPr>
          <w:rFonts w:hint="eastAsia" w:ascii="宋体" w:hAnsi="宋体" w:cs="宋体"/>
          <w:b/>
          <w:sz w:val="32"/>
          <w:szCs w:val="32"/>
        </w:rPr>
        <w:t>（非监狱企业不用提供）</w:t>
      </w:r>
    </w:p>
    <w:p>
      <w:pPr>
        <w:pStyle w:val="3"/>
        <w:numPr>
          <w:ilvl w:val="0"/>
          <w:numId w:val="0"/>
        </w:numPr>
        <w:rPr>
          <w:rFonts w:hint="eastAsia"/>
        </w:rPr>
      </w:pPr>
    </w:p>
    <w:p>
      <w:pPr>
        <w:snapToGrid w:val="0"/>
        <w:spacing w:line="360" w:lineRule="auto"/>
        <w:rPr>
          <w:rFonts w:hint="eastAsia" w:ascii="宋体" w:hAnsi="宋体" w:cs="宋体"/>
          <w:sz w:val="24"/>
        </w:rPr>
      </w:pPr>
      <w:r>
        <w:rPr>
          <w:rFonts w:hint="eastAsia" w:ascii="宋体" w:hAnsi="宋体" w:cs="宋体"/>
          <w:sz w:val="24"/>
          <w:lang w:eastAsia="zh-CN"/>
        </w:rPr>
        <w:t>湖州市埭溪镇上强中学</w:t>
      </w:r>
      <w:r>
        <w:rPr>
          <w:rFonts w:hint="eastAsia" w:ascii="宋体" w:hAnsi="宋体" w:cs="宋体"/>
          <w:sz w:val="24"/>
        </w:rPr>
        <w:t>、浙江恒盛工程咨询有限公司：</w:t>
      </w:r>
    </w:p>
    <w:p>
      <w:pPr>
        <w:snapToGrid w:val="0"/>
        <w:spacing w:line="360" w:lineRule="auto"/>
        <w:ind w:firstLine="480" w:firstLineChars="200"/>
        <w:rPr>
          <w:rFonts w:hint="eastAsia" w:ascii="宋体" w:hAnsi="宋体" w:cs="宋体"/>
          <w:sz w:val="24"/>
        </w:rPr>
      </w:pPr>
      <w:r>
        <w:rPr>
          <w:rFonts w:hint="eastAsia" w:ascii="宋体" w:hAnsi="宋体" w:cs="宋体"/>
          <w:sz w:val="24"/>
        </w:rPr>
        <w:t>本公司郑重声明，根据《关于政府采购支持监狱企业发展有关问题的通知》（财库〔2014〕68号）的规定，本公司为监狱企业。</w:t>
      </w:r>
    </w:p>
    <w:p>
      <w:pPr>
        <w:snapToGrid w:val="0"/>
        <w:spacing w:line="360" w:lineRule="auto"/>
        <w:ind w:firstLine="480" w:firstLineChars="200"/>
        <w:rPr>
          <w:rFonts w:hint="eastAsia" w:ascii="宋体" w:hAnsi="宋体" w:cs="宋体"/>
          <w:sz w:val="24"/>
        </w:rPr>
      </w:pPr>
      <w:r>
        <w:rPr>
          <w:rFonts w:hint="eastAsia" w:ascii="宋体" w:hAnsi="宋体" w:cs="宋体"/>
          <w:sz w:val="24"/>
        </w:rPr>
        <w:t>1.本公司为监狱企业的证明材料如下：</w:t>
      </w:r>
    </w:p>
    <w:p>
      <w:pPr>
        <w:snapToGrid w:val="0"/>
        <w:spacing w:line="360" w:lineRule="auto"/>
        <w:ind w:firstLine="480" w:firstLineChars="200"/>
        <w:rPr>
          <w:rFonts w:hint="eastAsia" w:ascii="宋体" w:hAnsi="宋体" w:cs="宋体"/>
          <w:sz w:val="24"/>
        </w:rPr>
      </w:pPr>
      <w:r>
        <w:rPr>
          <w:rFonts w:hint="eastAsia" w:ascii="宋体" w:hAnsi="宋体" w:cs="宋体"/>
          <w:sz w:val="24"/>
        </w:rPr>
        <w:t>（1）附件：</w:t>
      </w:r>
      <w:r>
        <w:rPr>
          <w:rFonts w:hint="eastAsia" w:ascii="宋体" w:hAnsi="宋体" w:cs="宋体"/>
          <w:sz w:val="24"/>
          <w:u w:val="single"/>
        </w:rPr>
        <w:t xml:space="preserve">                                      </w:t>
      </w:r>
      <w:r>
        <w:rPr>
          <w:rFonts w:hint="eastAsia" w:ascii="宋体" w:hAnsi="宋体" w:cs="宋体"/>
          <w:sz w:val="24"/>
        </w:rPr>
        <w:t xml:space="preserve"> 。</w:t>
      </w:r>
    </w:p>
    <w:p>
      <w:pPr>
        <w:snapToGrid w:val="0"/>
        <w:spacing w:line="360" w:lineRule="auto"/>
        <w:ind w:firstLine="480" w:firstLineChars="200"/>
        <w:rPr>
          <w:rFonts w:hint="eastAsia" w:ascii="宋体" w:hAnsi="宋体" w:cs="宋体"/>
          <w:sz w:val="24"/>
        </w:rPr>
      </w:pPr>
      <w:r>
        <w:rPr>
          <w:rFonts w:hint="eastAsia" w:ascii="宋体" w:hAnsi="宋体" w:cs="宋体"/>
          <w:sz w:val="24"/>
        </w:rPr>
        <w:t>（2）附件：</w:t>
      </w:r>
      <w:r>
        <w:rPr>
          <w:rFonts w:hint="eastAsia" w:ascii="宋体" w:hAnsi="宋体" w:cs="宋体"/>
          <w:sz w:val="24"/>
          <w:u w:val="single"/>
        </w:rPr>
        <w:t xml:space="preserve">                                      </w:t>
      </w:r>
      <w:r>
        <w:rPr>
          <w:rFonts w:hint="eastAsia" w:ascii="宋体" w:hAnsi="宋体" w:cs="宋体"/>
          <w:sz w:val="24"/>
        </w:rPr>
        <w:t xml:space="preserve"> 。</w:t>
      </w:r>
    </w:p>
    <w:p>
      <w:pPr>
        <w:snapToGrid w:val="0"/>
        <w:spacing w:line="360" w:lineRule="auto"/>
        <w:ind w:firstLine="480" w:firstLineChars="200"/>
        <w:rPr>
          <w:rFonts w:hint="eastAsia" w:ascii="宋体" w:hAnsi="宋体" w:cs="宋体"/>
          <w:sz w:val="24"/>
        </w:rPr>
      </w:pPr>
      <w:r>
        <w:rPr>
          <w:rFonts w:hint="eastAsia" w:ascii="宋体" w:hAnsi="宋体" w:cs="宋体"/>
          <w:sz w:val="24"/>
        </w:rPr>
        <w:t>2.本公司参加</w:t>
      </w:r>
      <w:r>
        <w:rPr>
          <w:rFonts w:hint="eastAsia" w:ascii="宋体" w:hAnsi="宋体" w:cs="宋体"/>
          <w:sz w:val="24"/>
          <w:u w:val="single"/>
        </w:rPr>
        <w:t>_（项目名称）（项目编号）</w:t>
      </w:r>
      <w:r>
        <w:rPr>
          <w:rFonts w:hint="eastAsia" w:ascii="宋体" w:hAnsi="宋体" w:cs="宋体"/>
          <w:sz w:val="24"/>
        </w:rPr>
        <w:t>的采购活动。本公司对上述声明的真实性负责。如有虚假，将依法承担相应责任。</w:t>
      </w:r>
    </w:p>
    <w:p>
      <w:pPr>
        <w:snapToGrid w:val="0"/>
        <w:spacing w:line="360" w:lineRule="auto"/>
        <w:ind w:firstLine="482" w:firstLineChars="200"/>
        <w:rPr>
          <w:rFonts w:hint="eastAsia" w:ascii="宋体" w:hAnsi="宋体" w:cs="宋体"/>
          <w:sz w:val="24"/>
        </w:rPr>
      </w:pPr>
      <w:r>
        <w:rPr>
          <w:rFonts w:hint="eastAsia" w:ascii="宋体" w:hAnsi="宋体" w:cs="宋体"/>
          <w:b/>
          <w:kern w:val="0"/>
          <w:sz w:val="24"/>
          <w:lang w:val="zh-CN"/>
        </w:rPr>
        <w:t>注：1）本声明函为监狱企业填写。</w:t>
      </w:r>
    </w:p>
    <w:p>
      <w:pPr>
        <w:snapToGrid w:val="0"/>
        <w:spacing w:line="360" w:lineRule="auto"/>
        <w:ind w:firstLine="954" w:firstLineChars="396"/>
        <w:rPr>
          <w:rFonts w:hint="eastAsia" w:ascii="宋体" w:hAnsi="宋体" w:cs="宋体"/>
          <w:b/>
          <w:kern w:val="0"/>
          <w:sz w:val="24"/>
          <w:lang w:val="zh-CN"/>
        </w:rPr>
      </w:pPr>
      <w:r>
        <w:rPr>
          <w:rFonts w:hint="eastAsia" w:ascii="宋体" w:hAnsi="宋体" w:cs="宋体"/>
          <w:b/>
          <w:kern w:val="0"/>
          <w:sz w:val="24"/>
          <w:lang w:val="zh-CN"/>
        </w:rPr>
        <w:t>2）后附相关部门认定盖章认定证明文件</w:t>
      </w:r>
      <w:r>
        <w:rPr>
          <w:rFonts w:hint="eastAsia" w:ascii="宋体" w:hAnsi="宋体" w:cs="宋体"/>
          <w:b/>
          <w:sz w:val="24"/>
        </w:rPr>
        <w:t>且有效期内</w:t>
      </w:r>
      <w:r>
        <w:rPr>
          <w:rFonts w:hint="eastAsia" w:ascii="宋体" w:hAnsi="宋体" w:cs="宋体"/>
          <w:b/>
          <w:kern w:val="0"/>
          <w:sz w:val="24"/>
          <w:lang w:val="zh-CN"/>
        </w:rPr>
        <w:t>。</w:t>
      </w:r>
    </w:p>
    <w:p>
      <w:pPr>
        <w:snapToGrid w:val="0"/>
        <w:spacing w:line="360" w:lineRule="auto"/>
        <w:rPr>
          <w:rFonts w:hint="eastAsia" w:ascii="宋体" w:hAnsi="宋体" w:cs="宋体"/>
          <w:kern w:val="0"/>
          <w:sz w:val="24"/>
          <w:lang w:val="zh-CN"/>
        </w:rPr>
      </w:pP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u w:val="single"/>
          <w:lang w:val="zh-CN"/>
        </w:rPr>
      </w:pPr>
      <w:r>
        <w:rPr>
          <w:rFonts w:hint="eastAsia" w:ascii="宋体" w:hAnsi="宋体" w:cs="宋体"/>
          <w:kern w:val="0"/>
          <w:sz w:val="24"/>
        </w:rPr>
        <w:t>日期：  年  月   日</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tabs>
          <w:tab w:val="left" w:pos="2790"/>
          <w:tab w:val="left" w:pos="4230"/>
        </w:tabs>
        <w:autoSpaceDE w:val="0"/>
        <w:autoSpaceDN w:val="0"/>
        <w:spacing w:line="440" w:lineRule="exact"/>
        <w:ind w:right="1400"/>
        <w:outlineLvl w:val="1"/>
        <w:rPr>
          <w:rFonts w:hint="eastAsia" w:ascii="宋体" w:hAnsi="宋体" w:cs="宋体"/>
          <w:b/>
          <w:bCs/>
          <w:kern w:val="0"/>
          <w:lang w:val="zh-CN"/>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bookmarkEnd w:id="25"/>
    <w:bookmarkEnd w:id="26"/>
    <w:p>
      <w:pPr>
        <w:jc w:val="center"/>
        <w:rPr>
          <w:rFonts w:ascii="宋体" w:hAnsi="宋体" w:cs="宋体"/>
          <w:b/>
          <w:sz w:val="28"/>
          <w:szCs w:val="28"/>
        </w:rPr>
      </w:pPr>
      <w:r>
        <w:rPr>
          <w:rFonts w:hint="eastAsia" w:ascii="宋体" w:hAnsi="宋体" w:cs="宋体"/>
          <w:b/>
          <w:sz w:val="28"/>
          <w:szCs w:val="28"/>
        </w:rPr>
        <w:t>中标服务费支付承诺书</w:t>
      </w:r>
    </w:p>
    <w:p>
      <w:pPr>
        <w:spacing w:line="600" w:lineRule="auto"/>
        <w:jc w:val="center"/>
        <w:rPr>
          <w:rFonts w:ascii="宋体" w:hAnsi="宋体" w:cs="宋体"/>
          <w:b/>
          <w:sz w:val="28"/>
          <w:szCs w:val="28"/>
        </w:rPr>
      </w:pPr>
    </w:p>
    <w:p>
      <w:pPr>
        <w:pStyle w:val="3"/>
        <w:numPr>
          <w:ilvl w:val="0"/>
          <w:numId w:val="0"/>
        </w:numPr>
        <w:spacing w:line="600" w:lineRule="auto"/>
        <w:rPr>
          <w:rFonts w:ascii="宋体" w:hAnsi="宋体" w:eastAsia="宋体" w:cs="宋体"/>
          <w:bCs w:val="0"/>
          <w:sz w:val="28"/>
          <w:szCs w:val="28"/>
        </w:rPr>
      </w:pPr>
    </w:p>
    <w:p>
      <w:pPr>
        <w:pStyle w:val="3"/>
        <w:numPr>
          <w:ilvl w:val="0"/>
          <w:numId w:val="0"/>
        </w:numPr>
        <w:spacing w:line="600" w:lineRule="auto"/>
        <w:rPr>
          <w:rFonts w:ascii="宋体" w:hAnsi="宋体" w:eastAsia="宋体" w:cs="宋体"/>
          <w:b w:val="0"/>
          <w:sz w:val="24"/>
          <w:szCs w:val="24"/>
          <w:u w:val="single"/>
        </w:rPr>
      </w:pPr>
      <w:r>
        <w:rPr>
          <w:rFonts w:hint="eastAsia" w:ascii="宋体" w:hAnsi="宋体" w:eastAsia="宋体" w:cs="宋体"/>
          <w:b w:val="0"/>
          <w:sz w:val="24"/>
          <w:szCs w:val="24"/>
          <w:u w:val="single"/>
        </w:rPr>
        <w:t>浙江恒盛工程咨询有限公司：</w:t>
      </w:r>
    </w:p>
    <w:p>
      <w:pPr>
        <w:pStyle w:val="3"/>
        <w:numPr>
          <w:ilvl w:val="0"/>
          <w:numId w:val="0"/>
        </w:numPr>
        <w:rPr>
          <w:rFonts w:ascii="宋体" w:hAnsi="宋体" w:eastAsia="宋体" w:cs="宋体"/>
          <w:b w:val="0"/>
          <w:sz w:val="24"/>
          <w:szCs w:val="24"/>
        </w:rPr>
      </w:pPr>
    </w:p>
    <w:p>
      <w:pPr>
        <w:pStyle w:val="3"/>
        <w:numPr>
          <w:ilvl w:val="0"/>
          <w:numId w:val="0"/>
        </w:numPr>
        <w:ind w:firstLine="480" w:firstLineChars="200"/>
        <w:rPr>
          <w:rFonts w:ascii="宋体" w:hAnsi="宋体" w:eastAsia="宋体" w:cs="宋体"/>
          <w:b w:val="0"/>
          <w:sz w:val="24"/>
          <w:szCs w:val="24"/>
        </w:rPr>
      </w:pPr>
      <w:r>
        <w:rPr>
          <w:rFonts w:hint="eastAsia" w:ascii="宋体" w:hAnsi="宋体" w:eastAsia="宋体" w:cs="宋体"/>
          <w:b w:val="0"/>
          <w:sz w:val="24"/>
          <w:szCs w:val="24"/>
        </w:rPr>
        <w:t>本单位在此承诺：如在本项目中标，中标之日起5个工作日之内，向贵公司按采购文件约定支付中标服务费。</w:t>
      </w:r>
    </w:p>
    <w:p>
      <w:pPr>
        <w:rPr>
          <w:rFonts w:ascii="宋体" w:hAnsi="宋体" w:cs="宋体"/>
          <w:snapToGrid w:val="0"/>
          <w:kern w:val="0"/>
          <w:szCs w:val="21"/>
          <w:lang w:val="zh-CN"/>
        </w:rPr>
      </w:pPr>
    </w:p>
    <w:p>
      <w:pPr>
        <w:rPr>
          <w:rFonts w:ascii="宋体" w:hAnsi="宋体" w:cs="宋体"/>
        </w:rPr>
      </w:pPr>
    </w:p>
    <w:p>
      <w:pPr>
        <w:rPr>
          <w:rFonts w:ascii="宋体" w:hAnsi="宋体" w:cs="宋体"/>
        </w:rPr>
      </w:pPr>
    </w:p>
    <w:p>
      <w:pPr>
        <w:rPr>
          <w:rFonts w:ascii="宋体" w:hAnsi="宋体" w:cs="宋体"/>
        </w:rPr>
      </w:pPr>
    </w:p>
    <w:p>
      <w:pPr>
        <w:snapToGrid w:val="0"/>
        <w:spacing w:line="360" w:lineRule="auto"/>
        <w:ind w:firstLine="5280" w:firstLineChars="2200"/>
        <w:rPr>
          <w:rFonts w:hint="eastAsia" w:ascii="宋体" w:hAnsi="宋体" w:cs="宋体"/>
          <w:kern w:val="0"/>
          <w:sz w:val="24"/>
        </w:rPr>
      </w:pPr>
      <w:r>
        <w:rPr>
          <w:rFonts w:hint="eastAsia" w:ascii="宋体" w:hAnsi="宋体" w:cs="宋体"/>
          <w:kern w:val="0"/>
          <w:sz w:val="24"/>
          <w:lang w:val="zh-CN"/>
        </w:rPr>
        <w:t>供应商名称(公章)：</w:t>
      </w:r>
    </w:p>
    <w:p>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法定代表人或其授权代表(签字)：</w:t>
      </w:r>
    </w:p>
    <w:p>
      <w:pPr>
        <w:snapToGrid w:val="0"/>
        <w:spacing w:line="360" w:lineRule="auto"/>
        <w:ind w:firstLine="5160" w:firstLineChars="2150"/>
        <w:rPr>
          <w:rFonts w:hint="eastAsia" w:ascii="宋体" w:hAnsi="宋体" w:cs="宋体"/>
          <w:kern w:val="0"/>
          <w:sz w:val="24"/>
          <w:u w:val="single"/>
          <w:lang w:val="zh-CN"/>
        </w:rPr>
      </w:pPr>
      <w:r>
        <w:rPr>
          <w:rFonts w:hint="eastAsia" w:ascii="宋体" w:hAnsi="宋体" w:cs="宋体"/>
          <w:kern w:val="0"/>
          <w:sz w:val="24"/>
        </w:rPr>
        <w:t>日期：  年  月   日</w:t>
      </w:r>
    </w:p>
    <w:p>
      <w:pPr>
        <w:jc w:val="center"/>
        <w:rPr>
          <w:rFonts w:hint="eastAsia" w:ascii="宋体" w:hAnsi="宋体"/>
          <w:b/>
          <w:sz w:val="36"/>
          <w:szCs w:val="36"/>
        </w:rPr>
      </w:pPr>
    </w:p>
    <w:p>
      <w:pPr>
        <w:pStyle w:val="3"/>
        <w:numPr>
          <w:ilvl w:val="0"/>
          <w:numId w:val="0"/>
        </w:numPr>
        <w:rPr>
          <w:rFonts w:hint="eastAsia" w:ascii="宋体" w:hAnsi="宋体" w:eastAsia="宋体" w:cs="宋体"/>
          <w:sz w:val="24"/>
          <w:szCs w:val="24"/>
        </w:rPr>
      </w:pPr>
      <w:r>
        <w:rPr>
          <w:rFonts w:hint="eastAsia" w:ascii="宋体" w:hAnsi="宋体" w:eastAsia="宋体" w:cs="宋体"/>
          <w:sz w:val="24"/>
          <w:szCs w:val="24"/>
        </w:rPr>
        <w:t>收款账户信息：</w:t>
      </w:r>
    </w:p>
    <w:p>
      <w:pPr>
        <w:pStyle w:val="3"/>
        <w:numPr>
          <w:ilvl w:val="0"/>
          <w:numId w:val="0"/>
        </w:numPr>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户</w:t>
      </w:r>
      <w:r>
        <w:rPr>
          <w:rFonts w:hint="eastAsia" w:ascii="宋体" w:hAnsi="宋体" w:eastAsia="宋体" w:cs="宋体"/>
          <w:b w:val="0"/>
          <w:bCs w:val="0"/>
          <w:sz w:val="24"/>
          <w:szCs w:val="24"/>
          <w:lang w:val="en-US"/>
        </w:rPr>
        <w:t xml:space="preserve">    </w:t>
      </w:r>
      <w:r>
        <w:rPr>
          <w:rFonts w:hint="eastAsia" w:ascii="宋体" w:hAnsi="宋体" w:eastAsia="宋体" w:cs="宋体"/>
          <w:b w:val="0"/>
          <w:bCs w:val="0"/>
          <w:sz w:val="24"/>
          <w:szCs w:val="24"/>
        </w:rPr>
        <w:t xml:space="preserve">名：浙江恒盛工程咨询有限公司    </w:t>
      </w:r>
    </w:p>
    <w:p>
      <w:pPr>
        <w:pStyle w:val="3"/>
        <w:numPr>
          <w:ilvl w:val="0"/>
          <w:numId w:val="0"/>
        </w:numPr>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开户银行：湖州银行股份有限公司</w:t>
      </w:r>
    </w:p>
    <w:p>
      <w:pPr>
        <w:pStyle w:val="3"/>
        <w:numPr>
          <w:ilvl w:val="0"/>
          <w:numId w:val="0"/>
        </w:numPr>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银行帐号：800015981000350             </w:t>
      </w:r>
    </w:p>
    <w:p>
      <w:pPr>
        <w:pStyle w:val="3"/>
        <w:numPr>
          <w:ilvl w:val="0"/>
          <w:numId w:val="0"/>
        </w:numPr>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银行行号：313336000013</w:t>
      </w: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p>
    <w:p>
      <w:pPr>
        <w:pStyle w:val="6"/>
        <w:rPr>
          <w:rFonts w:hint="eastAsia" w:hAnsi="宋体"/>
          <w:b/>
          <w:sz w:val="36"/>
          <w:szCs w:val="36"/>
        </w:rPr>
      </w:pPr>
    </w:p>
    <w:p>
      <w:pPr>
        <w:pStyle w:val="6"/>
        <w:rPr>
          <w:rFonts w:hint="eastAsia" w:hAnsi="宋体"/>
          <w:b/>
          <w:sz w:val="36"/>
          <w:szCs w:val="36"/>
        </w:rPr>
      </w:pPr>
    </w:p>
    <w:p>
      <w:pPr>
        <w:jc w:val="center"/>
        <w:rPr>
          <w:rFonts w:hint="eastAsia" w:ascii="宋体" w:hAnsi="宋体"/>
          <w:b/>
          <w:sz w:val="36"/>
          <w:szCs w:val="36"/>
        </w:rPr>
      </w:pPr>
    </w:p>
    <w:p>
      <w:pPr>
        <w:rPr>
          <w:rFonts w:hint="eastAsia" w:ascii="宋体" w:hAnsi="宋体"/>
          <w:b/>
          <w:sz w:val="36"/>
          <w:szCs w:val="36"/>
        </w:rPr>
      </w:pPr>
    </w:p>
    <w:p>
      <w:pPr>
        <w:jc w:val="center"/>
        <w:rPr>
          <w:rFonts w:hint="eastAsia" w:ascii="宋体" w:hAnsi="宋体"/>
          <w:b/>
          <w:sz w:val="36"/>
          <w:szCs w:val="36"/>
        </w:rPr>
      </w:pPr>
      <w:r>
        <w:rPr>
          <w:rFonts w:hint="eastAsia" w:ascii="宋体" w:hAnsi="宋体"/>
          <w:b/>
          <w:sz w:val="36"/>
          <w:szCs w:val="36"/>
        </w:rPr>
        <w:t>自评评分表</w:t>
      </w:r>
    </w:p>
    <w:tbl>
      <w:tblPr>
        <w:tblStyle w:val="60"/>
        <w:tblW w:w="8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4662"/>
        <w:gridCol w:w="1307"/>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595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pStyle w:val="17"/>
              <w:snapToGrid w:val="0"/>
              <w:jc w:val="center"/>
              <w:rPr>
                <w:rFonts w:ascii="宋体" w:hAnsi="宋体"/>
                <w:sz w:val="24"/>
                <w:szCs w:val="24"/>
              </w:rPr>
            </w:pPr>
            <w:r>
              <w:rPr>
                <w:rFonts w:hint="eastAsia" w:ascii="宋体" w:hAnsi="宋体"/>
                <w:sz w:val="24"/>
                <w:szCs w:val="24"/>
              </w:rPr>
              <w:t>评标内容及分值</w:t>
            </w:r>
          </w:p>
        </w:tc>
        <w:tc>
          <w:tcPr>
            <w:tcW w:w="2294" w:type="dxa"/>
            <w:gridSpan w:val="2"/>
            <w:tcBorders>
              <w:top w:val="single" w:color="auto" w:sz="4" w:space="0"/>
              <w:left w:val="single" w:color="auto" w:sz="4" w:space="0"/>
              <w:bottom w:val="single" w:color="auto" w:sz="4" w:space="0"/>
              <w:right w:val="single" w:color="auto" w:sz="4" w:space="0"/>
            </w:tcBorders>
            <w:noWrap w:val="0"/>
            <w:vAlign w:val="center"/>
          </w:tcPr>
          <w:p>
            <w:pPr>
              <w:pStyle w:val="17"/>
              <w:snapToGrid w:val="0"/>
              <w:jc w:val="center"/>
              <w:rPr>
                <w:rFonts w:hint="eastAsia" w:ascii="宋体" w:hAnsi="宋体"/>
                <w:sz w:val="24"/>
                <w:szCs w:val="24"/>
              </w:rPr>
            </w:pPr>
            <w:r>
              <w:rPr>
                <w:rFonts w:hint="eastAsia" w:ascii="宋体" w:hAnsi="宋体"/>
                <w:sz w:val="24"/>
                <w:szCs w:val="24"/>
              </w:rPr>
              <w:t>供应商自评分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595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jc w:val="center"/>
              <w:rPr>
                <w:rFonts w:ascii="宋体" w:hAnsi="宋体"/>
                <w:sz w:val="24"/>
                <w:szCs w:val="24"/>
              </w:rPr>
            </w:pPr>
            <w:r>
              <w:rPr>
                <w:rFonts w:hint="eastAsia" w:ascii="宋体" w:hAnsi="宋体"/>
                <w:sz w:val="24"/>
                <w:szCs w:val="24"/>
              </w:rPr>
              <w:t>投标文件所在页码</w:t>
            </w: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jc w:val="center"/>
              <w:rPr>
                <w:rFonts w:ascii="宋体" w:hAnsi="宋体"/>
                <w:sz w:val="24"/>
                <w:szCs w:val="24"/>
              </w:rPr>
            </w:pPr>
            <w:r>
              <w:rPr>
                <w:rFonts w:hint="eastAsia" w:ascii="宋体" w:hAnsi="宋体"/>
                <w:sz w:val="24"/>
                <w:szCs w:val="24"/>
              </w:rPr>
              <w:t>自评分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r>
              <w:rPr>
                <w:rFonts w:hint="eastAsia" w:ascii="宋体" w:hAnsi="宋体"/>
                <w:sz w:val="24"/>
                <w:szCs w:val="24"/>
              </w:rPr>
              <w:t>技术分</w:t>
            </w: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hint="eastAsia" w:ascii="宋体" w:hAnsi="宋体"/>
                <w:sz w:val="24"/>
                <w:szCs w:val="24"/>
              </w:rPr>
            </w:pPr>
            <w:r>
              <w:rPr>
                <w:rFonts w:hint="eastAsia" w:ascii="宋体" w:hAnsi="宋体"/>
                <w:sz w:val="24"/>
                <w:szCs w:val="24"/>
              </w:rPr>
              <w:t>根据招标文件的评分细则对应填写</w:t>
            </w: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288" w:type="dxa"/>
            <w:vMerge w:val="continue"/>
            <w:tcBorders>
              <w:left w:val="single" w:color="auto" w:sz="4" w:space="0"/>
              <w:right w:val="single" w:color="auto" w:sz="4" w:space="0"/>
            </w:tcBorders>
            <w:noWrap w:val="0"/>
            <w:vAlign w:val="center"/>
          </w:tcPr>
          <w:p>
            <w:pPr>
              <w:pStyle w:val="17"/>
              <w:snapToGrid w:val="0"/>
              <w:rPr>
                <w:rFonts w:hint="eastAsia" w:ascii="宋体" w:hAnsi="宋体"/>
                <w:sz w:val="24"/>
                <w:szCs w:val="24"/>
              </w:rPr>
            </w:pP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2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288" w:type="dxa"/>
            <w:vMerge w:val="restart"/>
            <w:tcBorders>
              <w:left w:val="single" w:color="auto" w:sz="4" w:space="0"/>
              <w:right w:val="single" w:color="auto" w:sz="4" w:space="0"/>
            </w:tcBorders>
            <w:noWrap w:val="0"/>
            <w:vAlign w:val="center"/>
          </w:tcPr>
          <w:p>
            <w:pPr>
              <w:pStyle w:val="17"/>
              <w:snapToGrid w:val="0"/>
              <w:rPr>
                <w:rFonts w:ascii="宋体" w:hAnsi="宋体"/>
                <w:sz w:val="24"/>
                <w:szCs w:val="24"/>
              </w:rPr>
            </w:pPr>
            <w:r>
              <w:rPr>
                <w:rFonts w:hint="eastAsia" w:ascii="宋体" w:hAnsi="宋体"/>
                <w:sz w:val="24"/>
                <w:szCs w:val="24"/>
              </w:rPr>
              <w:t>商务资信分</w:t>
            </w: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288" w:type="dxa"/>
            <w:vMerge w:val="continue"/>
            <w:tcBorders>
              <w:left w:val="single" w:color="auto" w:sz="4" w:space="0"/>
              <w:right w:val="single" w:color="auto" w:sz="4" w:space="0"/>
            </w:tcBorders>
            <w:noWrap w:val="0"/>
            <w:vAlign w:val="center"/>
          </w:tcPr>
          <w:p>
            <w:pPr>
              <w:pStyle w:val="17"/>
              <w:snapToGrid w:val="0"/>
              <w:rPr>
                <w:rFonts w:ascii="宋体" w:hAnsi="宋体"/>
                <w:sz w:val="24"/>
                <w:szCs w:val="24"/>
              </w:rPr>
            </w:pP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288" w:type="dxa"/>
            <w:vMerge w:val="continue"/>
            <w:tcBorders>
              <w:left w:val="single" w:color="auto" w:sz="4" w:space="0"/>
              <w:right w:val="single" w:color="auto" w:sz="4" w:space="0"/>
            </w:tcBorders>
            <w:noWrap w:val="0"/>
            <w:vAlign w:val="center"/>
          </w:tcPr>
          <w:p>
            <w:pPr>
              <w:pStyle w:val="17"/>
              <w:snapToGrid w:val="0"/>
              <w:rPr>
                <w:rFonts w:ascii="宋体" w:hAnsi="宋体"/>
                <w:sz w:val="24"/>
                <w:szCs w:val="24"/>
              </w:rPr>
            </w:pP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288" w:type="dxa"/>
            <w:vMerge w:val="continue"/>
            <w:tcBorders>
              <w:left w:val="single" w:color="auto" w:sz="4" w:space="0"/>
              <w:right w:val="single" w:color="auto" w:sz="4" w:space="0"/>
            </w:tcBorders>
            <w:noWrap w:val="0"/>
            <w:vAlign w:val="center"/>
          </w:tcPr>
          <w:p>
            <w:pPr>
              <w:pStyle w:val="17"/>
              <w:snapToGrid w:val="0"/>
              <w:rPr>
                <w:rFonts w:ascii="宋体" w:hAnsi="宋体"/>
                <w:sz w:val="24"/>
                <w:szCs w:val="24"/>
              </w:rPr>
            </w:pPr>
          </w:p>
        </w:tc>
        <w:tc>
          <w:tcPr>
            <w:tcW w:w="4662"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257" w:type="dxa"/>
            <w:gridSpan w:val="3"/>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r>
              <w:rPr>
                <w:rFonts w:hint="eastAsia" w:ascii="宋体" w:hAnsi="宋体"/>
                <w:sz w:val="24"/>
                <w:szCs w:val="24"/>
              </w:rPr>
              <w:t>合计得分</w:t>
            </w:r>
          </w:p>
        </w:tc>
        <w:tc>
          <w:tcPr>
            <w:tcW w:w="987" w:type="dxa"/>
            <w:tcBorders>
              <w:top w:val="single" w:color="auto" w:sz="4" w:space="0"/>
              <w:left w:val="single" w:color="auto" w:sz="4" w:space="0"/>
              <w:bottom w:val="single" w:color="auto" w:sz="4" w:space="0"/>
              <w:right w:val="single" w:color="auto" w:sz="4" w:space="0"/>
            </w:tcBorders>
            <w:noWrap w:val="0"/>
            <w:vAlign w:val="center"/>
          </w:tcPr>
          <w:p>
            <w:pPr>
              <w:pStyle w:val="17"/>
              <w:snapToGrid w:val="0"/>
              <w:rPr>
                <w:rFonts w:ascii="宋体" w:hAnsi="宋体"/>
                <w:sz w:val="24"/>
                <w:szCs w:val="24"/>
              </w:rPr>
            </w:pPr>
          </w:p>
        </w:tc>
      </w:tr>
    </w:tbl>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rPr>
          <w:rFonts w:hint="eastAsia" w:ascii="宋体" w:hAnsi="宋体" w:cs="宋体"/>
          <w:b/>
          <w:spacing w:val="6"/>
          <w:sz w:val="24"/>
        </w:rPr>
      </w:pPr>
    </w:p>
    <w:p>
      <w:pPr>
        <w:pStyle w:val="23"/>
        <w:rPr>
          <w:rFonts w:hint="eastAsia" w:ascii="Arial" w:hAnsi="Arial" w:eastAsia="黑体" w:cs="Arial"/>
          <w:snapToGrid w:val="0"/>
          <w:kern w:val="0"/>
          <w:szCs w:val="21"/>
        </w:rPr>
      </w:pPr>
    </w:p>
    <w:p>
      <w:pPr>
        <w:spacing w:line="360" w:lineRule="auto"/>
        <w:rPr>
          <w:rFonts w:hint="eastAsia" w:ascii="宋体" w:hAnsi="宋体" w:cs="宋体"/>
          <w:b/>
          <w:sz w:val="24"/>
        </w:rPr>
      </w:pPr>
    </w:p>
    <w:sectPr>
      <w:pgSz w:w="11907" w:h="16840"/>
      <w:pgMar w:top="1440" w:right="1803" w:bottom="1440" w:left="1803"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Lucida Sans">
    <w:panose1 w:val="020B0602030504020204"/>
    <w:charset w:val="00"/>
    <w:family w:val="swiss"/>
    <w:pitch w:val="default"/>
    <w:sig w:usb0="00000003"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MS Sans Serif">
    <w:altName w:val="Arial"/>
    <w:panose1 w:val="00000000000000000000"/>
    <w:charset w:val="00"/>
    <w:family w:val="swiss"/>
    <w:pitch w:val="default"/>
    <w:sig w:usb0="00000000" w:usb1="00000000" w:usb2="00000000" w:usb3="00000000" w:csb0="00000001" w:csb1="00000000"/>
  </w:font>
  <w:font w:name="Helvetica">
    <w:altName w:val="Arial"/>
    <w:panose1 w:val="020B0504020202030204"/>
    <w:charset w:val="00"/>
    <w:family w:val="swiss"/>
    <w:pitch w:val="default"/>
    <w:sig w:usb0="00000000" w:usb1="00000000" w:usb2="00000000" w:usb3="00000000" w:csb0="000001FF" w:csb1="00000000"/>
  </w:font>
  <w:font w:name="Arial (W1)">
    <w:altName w:val="Arial"/>
    <w:panose1 w:val="00000000000000000000"/>
    <w:charset w:val="00"/>
    <w:family w:val="swiss"/>
    <w:pitch w:val="default"/>
    <w:sig w:usb0="00000000" w:usb1="00000000" w:usb2="00000008" w:usb3="00000000" w:csb0="000001FF" w:csb1="00000000"/>
  </w:font>
  <w:font w:name="FHLHE E+ Futura Bk">
    <w:altName w:val="宋体"/>
    <w:panose1 w:val="00000000000000000000"/>
    <w:charset w:val="86"/>
    <w:family w:val="swiss"/>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Futura Bk">
    <w:altName w:val="Corbel"/>
    <w:panose1 w:val="020B0502020204020303"/>
    <w:charset w:val="00"/>
    <w:family w:val="swiss"/>
    <w:pitch w:val="default"/>
    <w:sig w:usb0="00000000" w:usb1="00000000" w:usb2="00000000" w:usb3="00000000" w:csb0="0000009F"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Cumberland">
    <w:altName w:val="Courier New"/>
    <w:panose1 w:val="00000000000000000000"/>
    <w:charset w:val="00"/>
    <w:family w:val="modern"/>
    <w:pitch w:val="default"/>
    <w:sig w:usb0="00000000" w:usb1="00000000" w:usb2="00000000" w:usb3="00000000" w:csb0="00040001" w:csb1="00000000"/>
  </w:font>
  <w:font w:name="方正宋体">
    <w:altName w:val="Times New Roman"/>
    <w:panose1 w:val="00000000000000000000"/>
    <w:charset w:val="00"/>
    <w:family w:val="auto"/>
    <w:pitch w:val="default"/>
    <w:sig w:usb0="00000000" w:usb1="00000000" w:usb2="00000000" w:usb3="00000000" w:csb0="00040001" w:csb1="00000000"/>
  </w:font>
  <w:font w:name="Futura Hv">
    <w:altName w:val="Arial"/>
    <w:panose1 w:val="00000000000000000000"/>
    <w:charset w:val="00"/>
    <w:family w:val="swiss"/>
    <w:pitch w:val="default"/>
    <w:sig w:usb0="00000000" w:usb1="00000000" w:usb2="00000000" w:usb3="00000000" w:csb0="0000009F" w:csb1="00000000"/>
  </w:font>
  <w:font w:name="Aldine401 BT">
    <w:altName w:val="Courier New"/>
    <w:panose1 w:val="00000000000000000000"/>
    <w:charset w:val="00"/>
    <w:family w:val="roman"/>
    <w:pitch w:val="default"/>
    <w:sig w:usb0="00000000" w:usb1="00000000" w:usb2="00000000" w:usb3="00000000" w:csb0="00000011" w:csb1="00000000"/>
  </w:font>
  <w:font w:name="Corbel">
    <w:panose1 w:val="020B0503020204020204"/>
    <w:charset w:val="00"/>
    <w:family w:val="auto"/>
    <w:pitch w:val="default"/>
    <w:sig w:usb0="A00002EF" w:usb1="4000A44B" w:usb2="00000000" w:usb3="00000000" w:csb0="2000019F" w:csb1="00000000"/>
  </w:font>
  <w:font w:name="Segoe UI Semilight">
    <w:panose1 w:val="020B04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hint="eastAsia"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58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4"/>
      </w:rPr>
    </w:pPr>
    <w:r>
      <w:fldChar w:fldCharType="begin"/>
    </w:r>
    <w:r>
      <w:rPr>
        <w:rStyle w:val="64"/>
      </w:rPr>
      <w:instrText xml:space="preserve">PAGE  </w:instrText>
    </w:r>
    <w:r>
      <w:fldChar w:fldCharType="separate"/>
    </w:r>
    <w: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rFonts w:hint="eastAsia"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58</w:t>
    </w:r>
    <w:r>
      <w:rPr>
        <w:rFonts w:hint="eastAsia" w:ascii="仿宋_GB2312" w:eastAsia="仿宋_GB2312"/>
        <w:kern w:val="0"/>
        <w:szCs w:val="21"/>
      </w:rPr>
      <w:fldChar w:fldCharType="end"/>
    </w:r>
    <w:bookmarkStart w:id="392" w:name="_Toc36110187"/>
    <w:bookmarkStart w:id="393" w:name="_Toc131845147"/>
    <w:bookmarkStart w:id="394" w:name="_Toc91899912"/>
    <w:bookmarkStart w:id="395" w:name="_Toc164085800"/>
    <w:r>
      <w:rPr>
        <w:rFonts w:hint="eastAsia" w:ascii="仿宋_GB2312" w:eastAsia="仿宋_GB2312"/>
        <w:kern w:val="0"/>
        <w:szCs w:val="21"/>
      </w:rPr>
      <w:t xml:space="preserve"> 页</w:t>
    </w:r>
    <w:bookmarkEnd w:id="392"/>
    <w:bookmarkEnd w:id="393"/>
    <w:bookmarkEnd w:id="394"/>
    <w:bookmarkEnd w:id="395"/>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both"/>
    </w:pPr>
    <w:r>
      <w:rPr>
        <w:rFonts w:hint="eastAsia" w:ascii="宋体" w:hAnsi="宋体" w:cs="宋体"/>
        <w:bCs/>
        <w:color w:val="000000"/>
        <w:sz w:val="24"/>
        <w:szCs w:val="24"/>
        <w:shd w:val="clear" w:color="auto" w:fill="FFFFFF"/>
      </w:rPr>
      <w:t>湖州市埭溪镇上强中学音体美提升工程</w:t>
    </w:r>
    <w:r>
      <w:rPr>
        <w:rFonts w:hint="eastAsia" w:ascii="宋体" w:hAnsi="宋体" w:cs="宋体"/>
        <w:bCs/>
        <w:color w:val="000000"/>
        <w:sz w:val="24"/>
        <w:szCs w:val="24"/>
        <w:shd w:val="clear" w:color="auto" w:fill="FFFFFF"/>
        <w:lang w:val="en-US" w:eastAsia="zh-CN"/>
      </w:rPr>
      <w:t xml:space="preserve">            </w:t>
    </w:r>
    <w:r>
      <w:rPr>
        <w:rFonts w:hint="eastAsia" w:ascii="宋体" w:hAnsi="宋体" w:cs="宋体"/>
        <w:b/>
        <w:color w:val="000000"/>
        <w:sz w:val="24"/>
        <w:szCs w:val="24"/>
        <w:shd w:val="clear" w:color="auto" w:fill="FFFFFF"/>
      </w:rPr>
      <w:t xml:space="preserve">    </w:t>
    </w:r>
    <w:r>
      <w:rPr>
        <w:rFonts w:hint="eastAsia" w:ascii="宋体" w:hAnsi="宋体" w:cs="宋体"/>
        <w:b/>
        <w:color w:val="000000"/>
        <w:sz w:val="24"/>
        <w:szCs w:val="24"/>
        <w:shd w:val="clear" w:color="auto" w:fill="FFFFFF"/>
        <w:lang w:val="en-US" w:eastAsia="zh-CN"/>
      </w:rPr>
      <w:t xml:space="preserve">          </w:t>
    </w:r>
    <w:r>
      <w:rPr>
        <w:rFonts w:hint="eastAsia" w:ascii="宋体" w:hAnsi="宋体" w:cs="宋体"/>
        <w:b/>
        <w:color w:val="000000"/>
        <w:sz w:val="24"/>
        <w:szCs w:val="24"/>
        <w:shd w:val="clear" w:color="auto" w:fill="FFFFFF"/>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8279"/>
        <w:tab w:val="clear" w:pos="8306"/>
      </w:tabs>
      <w:jc w:val="both"/>
      <w:rPr>
        <w:sz w:val="24"/>
        <w:szCs w:val="24"/>
      </w:rPr>
    </w:pPr>
    <w:r>
      <w:rPr>
        <w:rFonts w:hint="eastAsia"/>
        <w:sz w:val="24"/>
        <w:szCs w:val="24"/>
        <w:lang w:eastAsia="zh-CN"/>
      </w:rPr>
      <w:t>湖州市埭溪镇上强中学音体美提升工程</w:t>
    </w:r>
    <w:r>
      <w:rPr>
        <w:rFonts w:hint="eastAsia"/>
        <w:sz w:val="24"/>
        <w:szCs w:val="24"/>
      </w:rPr>
      <w:t xml:space="preserve">    </w:t>
    </w:r>
    <w:r>
      <w:rPr>
        <w:rFonts w:hint="eastAsia"/>
        <w:b/>
        <w:bCs/>
        <w:sz w:val="24"/>
        <w:szCs w:val="24"/>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EF8C4"/>
    <w:multiLevelType w:val="singleLevel"/>
    <w:tmpl w:val="9D9EF8C4"/>
    <w:lvl w:ilvl="0" w:tentative="0">
      <w:start w:val="1"/>
      <w:numFmt w:val="decimalEnclosedCircleChinese"/>
      <w:suff w:val="nothing"/>
      <w:lvlText w:val="%1　"/>
      <w:lvlJc w:val="left"/>
      <w:pPr>
        <w:ind w:left="0" w:firstLine="400"/>
      </w:pPr>
      <w:rPr>
        <w:rFonts w:hint="eastAsia"/>
      </w:rPr>
    </w:lvl>
  </w:abstractNum>
  <w:abstractNum w:abstractNumId="1">
    <w:nsid w:val="A32C35AF"/>
    <w:multiLevelType w:val="singleLevel"/>
    <w:tmpl w:val="A32C35AF"/>
    <w:lvl w:ilvl="0" w:tentative="0">
      <w:start w:val="1"/>
      <w:numFmt w:val="decimalEnclosedCircleChinese"/>
      <w:suff w:val="nothing"/>
      <w:lvlText w:val="%1　"/>
      <w:lvlJc w:val="left"/>
      <w:pPr>
        <w:ind w:left="0" w:firstLine="400"/>
      </w:pPr>
      <w:rPr>
        <w:rFonts w:hint="eastAsia"/>
      </w:rPr>
    </w:lvl>
  </w:abstractNum>
  <w:abstractNum w:abstractNumId="2">
    <w:nsid w:val="ECC36B88"/>
    <w:multiLevelType w:val="singleLevel"/>
    <w:tmpl w:val="ECC36B88"/>
    <w:lvl w:ilvl="0" w:tentative="0">
      <w:start w:val="1"/>
      <w:numFmt w:val="decimalEnclosedCircleChinese"/>
      <w:suff w:val="nothing"/>
      <w:lvlText w:val="%1　"/>
      <w:lvlJc w:val="left"/>
      <w:pPr>
        <w:ind w:left="0" w:firstLine="400"/>
      </w:pPr>
      <w:rPr>
        <w:rFonts w:hint="eastAsia"/>
      </w:rPr>
    </w:lvl>
  </w:abstractNum>
  <w:abstractNum w:abstractNumId="3">
    <w:nsid w:val="FFFFFF81"/>
    <w:multiLevelType w:val="singleLevel"/>
    <w:tmpl w:val="FFFFFF81"/>
    <w:lvl w:ilvl="0" w:tentative="0">
      <w:start w:val="1"/>
      <w:numFmt w:val="bullet"/>
      <w:pStyle w:val="14"/>
      <w:lvlText w:val=""/>
      <w:lvlJc w:val="left"/>
      <w:pPr>
        <w:tabs>
          <w:tab w:val="left" w:pos="1440"/>
        </w:tabs>
        <w:ind w:left="1440" w:hanging="360"/>
      </w:pPr>
      <w:rPr>
        <w:rFonts w:hint="default" w:ascii="Symbol" w:hAnsi="Symbol" w:eastAsia="Symbol"/>
      </w:rPr>
    </w:lvl>
  </w:abstractNum>
  <w:abstractNum w:abstractNumId="4">
    <w:nsid w:val="00000007"/>
    <w:multiLevelType w:val="multilevel"/>
    <w:tmpl w:val="00000007"/>
    <w:lvl w:ilvl="0" w:tentative="0">
      <w:start w:val="1"/>
      <w:numFmt w:val="bullet"/>
      <w:pStyle w:val="32"/>
      <w:lvlText w:val=""/>
      <w:lvlJc w:val="left"/>
      <w:pPr>
        <w:tabs>
          <w:tab w:val="left" w:pos="840"/>
        </w:tabs>
        <w:ind w:left="840" w:hanging="420"/>
      </w:pPr>
      <w:rPr>
        <w:rFonts w:hint="default" w:ascii="Wingdings" w:hAnsi="Wingdings"/>
      </w:rPr>
    </w:lvl>
    <w:lvl w:ilvl="1" w:tentative="0">
      <w:start w:val="1"/>
      <w:numFmt w:val="bullet"/>
      <w:pStyle w:val="596"/>
      <w:lvlText w:val=""/>
      <w:lvlJc w:val="left"/>
      <w:pPr>
        <w:tabs>
          <w:tab w:val="left" w:pos="1260"/>
        </w:tabs>
        <w:ind w:left="1260" w:hanging="420"/>
      </w:pPr>
      <w:rPr>
        <w:rFonts w:hint="default" w:ascii="Wingdings" w:hAnsi="Wingdings"/>
      </w:rPr>
    </w:lvl>
    <w:lvl w:ilvl="2" w:tentative="0">
      <w:start w:val="1"/>
      <w:numFmt w:val="bullet"/>
      <w:pStyle w:val="431"/>
      <w:lvlText w:val=""/>
      <w:lvlJc w:val="left"/>
      <w:pPr>
        <w:tabs>
          <w:tab w:val="left" w:pos="1680"/>
        </w:tabs>
        <w:ind w:left="1680" w:hanging="420"/>
      </w:pPr>
      <w:rPr>
        <w:rFonts w:hint="default" w:ascii="Wingdings" w:hAnsi="Wingdings"/>
      </w:rPr>
    </w:lvl>
    <w:lvl w:ilvl="3" w:tentative="0">
      <w:start w:val="1"/>
      <w:numFmt w:val="bullet"/>
      <w:pStyle w:val="487"/>
      <w:lvlText w:val=""/>
      <w:lvlJc w:val="left"/>
      <w:pPr>
        <w:tabs>
          <w:tab w:val="left" w:pos="2100"/>
        </w:tabs>
        <w:ind w:left="2100" w:hanging="420"/>
      </w:pPr>
      <w:rPr>
        <w:rFonts w:hint="default" w:ascii="Wingdings" w:hAnsi="Wingdings"/>
      </w:rPr>
    </w:lvl>
    <w:lvl w:ilvl="4" w:tentative="0">
      <w:start w:val="1"/>
      <w:numFmt w:val="bullet"/>
      <w:pStyle w:val="538"/>
      <w:lvlText w:val=""/>
      <w:lvlJc w:val="left"/>
      <w:pPr>
        <w:tabs>
          <w:tab w:val="left" w:pos="2520"/>
        </w:tabs>
        <w:ind w:left="2520" w:hanging="420"/>
      </w:pPr>
      <w:rPr>
        <w:rFonts w:hint="default" w:ascii="Wingdings" w:hAnsi="Wingdings"/>
      </w:rPr>
    </w:lvl>
    <w:lvl w:ilvl="5" w:tentative="0">
      <w:start w:val="1"/>
      <w:numFmt w:val="bullet"/>
      <w:pStyle w:val="317"/>
      <w:lvlText w:val=""/>
      <w:lvlJc w:val="left"/>
      <w:pPr>
        <w:tabs>
          <w:tab w:val="left" w:pos="2940"/>
        </w:tabs>
        <w:ind w:left="2940" w:hanging="420"/>
      </w:pPr>
      <w:rPr>
        <w:rFonts w:hint="default" w:ascii="Wingdings" w:hAnsi="Wingdings"/>
      </w:rPr>
    </w:lvl>
    <w:lvl w:ilvl="6" w:tentative="0">
      <w:start w:val="1"/>
      <w:numFmt w:val="bullet"/>
      <w:pStyle w:val="420"/>
      <w:lvlText w:val=""/>
      <w:lvlJc w:val="left"/>
      <w:pPr>
        <w:tabs>
          <w:tab w:val="left" w:pos="3360"/>
        </w:tabs>
        <w:ind w:left="3360" w:hanging="420"/>
      </w:pPr>
      <w:rPr>
        <w:rFonts w:hint="default" w:ascii="Wingdings" w:hAnsi="Wingdings"/>
      </w:rPr>
    </w:lvl>
    <w:lvl w:ilvl="7" w:tentative="0">
      <w:start w:val="1"/>
      <w:numFmt w:val="bullet"/>
      <w:pStyle w:val="289"/>
      <w:lvlText w:val=""/>
      <w:lvlJc w:val="left"/>
      <w:pPr>
        <w:tabs>
          <w:tab w:val="left" w:pos="3780"/>
        </w:tabs>
        <w:ind w:left="3780" w:hanging="420"/>
      </w:pPr>
      <w:rPr>
        <w:rFonts w:hint="default" w:ascii="Wingdings" w:hAnsi="Wingdings"/>
      </w:rPr>
    </w:lvl>
    <w:lvl w:ilvl="8" w:tentative="0">
      <w:start w:val="1"/>
      <w:numFmt w:val="bullet"/>
      <w:pStyle w:val="503"/>
      <w:lvlText w:val=""/>
      <w:lvlJc w:val="left"/>
      <w:pPr>
        <w:tabs>
          <w:tab w:val="left" w:pos="4200"/>
        </w:tabs>
        <w:ind w:left="4200" w:hanging="420"/>
      </w:pPr>
      <w:rPr>
        <w:rFonts w:hint="default" w:ascii="Wingdings" w:hAnsi="Wingdings"/>
      </w:rPr>
    </w:lvl>
  </w:abstractNum>
  <w:abstractNum w:abstractNumId="5">
    <w:nsid w:val="0000000A"/>
    <w:multiLevelType w:val="multilevel"/>
    <w:tmpl w:val="0000000A"/>
    <w:lvl w:ilvl="0" w:tentative="0">
      <w:start w:val="1"/>
      <w:numFmt w:val="decimal"/>
      <w:pStyle w:val="3"/>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02E057DB"/>
    <w:multiLevelType w:val="singleLevel"/>
    <w:tmpl w:val="02E057DB"/>
    <w:lvl w:ilvl="0" w:tentative="0">
      <w:start w:val="1"/>
      <w:numFmt w:val="decimalEnclosedCircleChinese"/>
      <w:suff w:val="nothing"/>
      <w:lvlText w:val="%1　"/>
      <w:lvlJc w:val="left"/>
      <w:pPr>
        <w:ind w:left="0" w:firstLine="400"/>
      </w:pPr>
      <w:rPr>
        <w:rFonts w:hint="eastAsia"/>
      </w:rPr>
    </w:lvl>
  </w:abstractNum>
  <w:abstractNum w:abstractNumId="7">
    <w:nsid w:val="11744E57"/>
    <w:multiLevelType w:val="multilevel"/>
    <w:tmpl w:val="11744E57"/>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900"/>
        </w:tabs>
        <w:ind w:left="900" w:hanging="720"/>
      </w:pPr>
    </w:lvl>
    <w:lvl w:ilvl="3" w:tentative="0">
      <w:start w:val="1"/>
      <w:numFmt w:val="decimal"/>
      <w:pStyle w:val="5"/>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8">
    <w:nsid w:val="348A4C8B"/>
    <w:multiLevelType w:val="multilevel"/>
    <w:tmpl w:val="348A4C8B"/>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9">
    <w:nsid w:val="3972F22A"/>
    <w:multiLevelType w:val="singleLevel"/>
    <w:tmpl w:val="3972F22A"/>
    <w:lvl w:ilvl="0" w:tentative="0">
      <w:start w:val="1"/>
      <w:numFmt w:val="decimal"/>
      <w:suff w:val="nothing"/>
      <w:lvlText w:val="（%1）"/>
      <w:lvlJc w:val="left"/>
    </w:lvl>
  </w:abstractNum>
  <w:abstractNum w:abstractNumId="10">
    <w:nsid w:val="578B3BD2"/>
    <w:multiLevelType w:val="multilevel"/>
    <w:tmpl w:val="578B3BD2"/>
    <w:lvl w:ilvl="0" w:tentative="0">
      <w:start w:val="1"/>
      <w:numFmt w:val="decimal"/>
      <w:pStyle w:val="414"/>
      <w:lvlText w:val="%1"/>
      <w:lvlJc w:val="left"/>
      <w:pPr>
        <w:tabs>
          <w:tab w:val="left" w:pos="480"/>
        </w:tabs>
        <w:ind w:left="480" w:hanging="480"/>
      </w:pPr>
      <w:rPr>
        <w:rFonts w:hint="eastAsia"/>
        <w:sz w:val="44"/>
        <w:szCs w:val="44"/>
      </w:rPr>
    </w:lvl>
    <w:lvl w:ilvl="1" w:tentative="0">
      <w:start w:val="1"/>
      <w:numFmt w:val="decimal"/>
      <w:pStyle w:val="291"/>
      <w:lvlText w:val="%1.%2"/>
      <w:lvlJc w:val="left"/>
      <w:pPr>
        <w:tabs>
          <w:tab w:val="left" w:pos="480"/>
        </w:tabs>
        <w:ind w:left="480" w:hanging="480"/>
      </w:pPr>
      <w:rPr>
        <w:rFonts w:hint="default"/>
        <w:sz w:val="32"/>
        <w:szCs w:val="32"/>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620"/>
        </w:tabs>
        <w:ind w:left="1620" w:hanging="720"/>
      </w:pPr>
      <w:rPr>
        <w:rFonts w:hint="default"/>
      </w:rPr>
    </w:lvl>
    <w:lvl w:ilvl="4" w:tentative="0">
      <w:start w:val="1"/>
      <w:numFmt w:val="decimal"/>
      <w:pStyle w:val="381"/>
      <w:lvlText w:val="%1.%2.%3.%4.%5"/>
      <w:lvlJc w:val="left"/>
      <w:pPr>
        <w:tabs>
          <w:tab w:val="left" w:pos="1080"/>
        </w:tabs>
        <w:ind w:left="1080" w:hanging="1080"/>
      </w:pPr>
      <w:rPr>
        <w:rFonts w:hint="default"/>
      </w:rPr>
    </w:lvl>
    <w:lvl w:ilvl="5" w:tentative="0">
      <w:start w:val="1"/>
      <w:numFmt w:val="decimal"/>
      <w:pStyle w:val="337"/>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6B97514A"/>
    <w:multiLevelType w:val="multilevel"/>
    <w:tmpl w:val="6B97514A"/>
    <w:lvl w:ilvl="0" w:tentative="0">
      <w:start w:val="1"/>
      <w:numFmt w:val="decimal"/>
      <w:lvlText w:val="（%1）"/>
      <w:lvlJc w:val="left"/>
      <w:pPr>
        <w:tabs>
          <w:tab w:val="left" w:pos="1200"/>
        </w:tabs>
        <w:ind w:left="1200" w:hanging="720"/>
      </w:pPr>
      <w:rPr>
        <w:rFonts w:hint="default"/>
      </w:r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596DCC"/>
    <w:multiLevelType w:val="multilevel"/>
    <w:tmpl w:val="73596DCC"/>
    <w:lvl w:ilvl="0" w:tentative="0">
      <w:start w:val="1"/>
      <w:numFmt w:val="bullet"/>
      <w:pStyle w:val="438"/>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7"/>
  </w:num>
  <w:num w:numId="2">
    <w:abstractNumId w:val="5"/>
  </w:num>
  <w:num w:numId="3">
    <w:abstractNumId w:val="3"/>
  </w:num>
  <w:num w:numId="4">
    <w:abstractNumId w:val="4"/>
  </w:num>
  <w:num w:numId="5">
    <w:abstractNumId w:val="10"/>
  </w:num>
  <w:num w:numId="6">
    <w:abstractNumId w:val="12"/>
  </w:num>
  <w:num w:numId="7">
    <w:abstractNumId w:val="0"/>
  </w:num>
  <w:num w:numId="8">
    <w:abstractNumId w:val="1"/>
  </w:num>
  <w:num w:numId="9">
    <w:abstractNumId w:val="6"/>
  </w:num>
  <w:num w:numId="10">
    <w:abstractNumId w:val="8"/>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61"/>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2YzIzNGM3M2EzODcyMjkwZDE3OTQzMThhOTA5NzkifQ=="/>
  </w:docVars>
  <w:rsids>
    <w:rsidRoot w:val="00172A27"/>
    <w:rsid w:val="00000451"/>
    <w:rsid w:val="0000133D"/>
    <w:rsid w:val="000058BD"/>
    <w:rsid w:val="00006109"/>
    <w:rsid w:val="00006725"/>
    <w:rsid w:val="0000675E"/>
    <w:rsid w:val="00007CAA"/>
    <w:rsid w:val="00010FE9"/>
    <w:rsid w:val="0001122F"/>
    <w:rsid w:val="00012564"/>
    <w:rsid w:val="0001337C"/>
    <w:rsid w:val="000138C4"/>
    <w:rsid w:val="00013F31"/>
    <w:rsid w:val="000140D8"/>
    <w:rsid w:val="00014530"/>
    <w:rsid w:val="00014BBC"/>
    <w:rsid w:val="00016074"/>
    <w:rsid w:val="000168D8"/>
    <w:rsid w:val="000170C8"/>
    <w:rsid w:val="000173F4"/>
    <w:rsid w:val="00020287"/>
    <w:rsid w:val="000202FE"/>
    <w:rsid w:val="0002327E"/>
    <w:rsid w:val="00023323"/>
    <w:rsid w:val="00024130"/>
    <w:rsid w:val="00024584"/>
    <w:rsid w:val="00024962"/>
    <w:rsid w:val="000249AA"/>
    <w:rsid w:val="000253E5"/>
    <w:rsid w:val="00025776"/>
    <w:rsid w:val="000270F2"/>
    <w:rsid w:val="00027540"/>
    <w:rsid w:val="00027AB7"/>
    <w:rsid w:val="00030572"/>
    <w:rsid w:val="00030CB3"/>
    <w:rsid w:val="0003206A"/>
    <w:rsid w:val="000326A7"/>
    <w:rsid w:val="00032EA0"/>
    <w:rsid w:val="000331B0"/>
    <w:rsid w:val="000336D4"/>
    <w:rsid w:val="00033DF2"/>
    <w:rsid w:val="00034FA7"/>
    <w:rsid w:val="000357E4"/>
    <w:rsid w:val="00035ACA"/>
    <w:rsid w:val="00040579"/>
    <w:rsid w:val="00042533"/>
    <w:rsid w:val="00042E65"/>
    <w:rsid w:val="0004347C"/>
    <w:rsid w:val="0004353B"/>
    <w:rsid w:val="000438C9"/>
    <w:rsid w:val="00043907"/>
    <w:rsid w:val="00044F48"/>
    <w:rsid w:val="00047354"/>
    <w:rsid w:val="00050656"/>
    <w:rsid w:val="00051356"/>
    <w:rsid w:val="00051B00"/>
    <w:rsid w:val="00051C72"/>
    <w:rsid w:val="0005238F"/>
    <w:rsid w:val="00052BB8"/>
    <w:rsid w:val="0005417A"/>
    <w:rsid w:val="00054D39"/>
    <w:rsid w:val="0005501B"/>
    <w:rsid w:val="000550F5"/>
    <w:rsid w:val="00055337"/>
    <w:rsid w:val="000554C7"/>
    <w:rsid w:val="00056402"/>
    <w:rsid w:val="00056791"/>
    <w:rsid w:val="000568DF"/>
    <w:rsid w:val="00056A08"/>
    <w:rsid w:val="000578A3"/>
    <w:rsid w:val="00057D4C"/>
    <w:rsid w:val="0006164C"/>
    <w:rsid w:val="00061A3C"/>
    <w:rsid w:val="00061C48"/>
    <w:rsid w:val="00064278"/>
    <w:rsid w:val="000646CA"/>
    <w:rsid w:val="000665C4"/>
    <w:rsid w:val="00067821"/>
    <w:rsid w:val="0006785E"/>
    <w:rsid w:val="00067F92"/>
    <w:rsid w:val="00067FA7"/>
    <w:rsid w:val="0007038E"/>
    <w:rsid w:val="0007077C"/>
    <w:rsid w:val="00070825"/>
    <w:rsid w:val="00071CD8"/>
    <w:rsid w:val="000725C6"/>
    <w:rsid w:val="00072AED"/>
    <w:rsid w:val="00072B56"/>
    <w:rsid w:val="00072D2B"/>
    <w:rsid w:val="000730B1"/>
    <w:rsid w:val="00073860"/>
    <w:rsid w:val="000738EA"/>
    <w:rsid w:val="00075D0E"/>
    <w:rsid w:val="00075F6A"/>
    <w:rsid w:val="00076159"/>
    <w:rsid w:val="0007616C"/>
    <w:rsid w:val="000763F3"/>
    <w:rsid w:val="00076801"/>
    <w:rsid w:val="00077577"/>
    <w:rsid w:val="00077607"/>
    <w:rsid w:val="00077756"/>
    <w:rsid w:val="00080970"/>
    <w:rsid w:val="00081671"/>
    <w:rsid w:val="00082AD4"/>
    <w:rsid w:val="00083648"/>
    <w:rsid w:val="00084D27"/>
    <w:rsid w:val="0008580E"/>
    <w:rsid w:val="00085A0E"/>
    <w:rsid w:val="00085C4F"/>
    <w:rsid w:val="00086F8A"/>
    <w:rsid w:val="00090243"/>
    <w:rsid w:val="000904F6"/>
    <w:rsid w:val="00090ED8"/>
    <w:rsid w:val="00090F9F"/>
    <w:rsid w:val="0009145F"/>
    <w:rsid w:val="00091460"/>
    <w:rsid w:val="00091B4E"/>
    <w:rsid w:val="00092FE9"/>
    <w:rsid w:val="00094342"/>
    <w:rsid w:val="00095954"/>
    <w:rsid w:val="000960BA"/>
    <w:rsid w:val="0009662A"/>
    <w:rsid w:val="00096DFF"/>
    <w:rsid w:val="0009785C"/>
    <w:rsid w:val="000A0DD0"/>
    <w:rsid w:val="000A0E69"/>
    <w:rsid w:val="000A1A52"/>
    <w:rsid w:val="000A1F98"/>
    <w:rsid w:val="000A3D58"/>
    <w:rsid w:val="000A47B0"/>
    <w:rsid w:val="000A49BB"/>
    <w:rsid w:val="000A4F22"/>
    <w:rsid w:val="000A5674"/>
    <w:rsid w:val="000A5A46"/>
    <w:rsid w:val="000A6C54"/>
    <w:rsid w:val="000A7299"/>
    <w:rsid w:val="000B050B"/>
    <w:rsid w:val="000B0E04"/>
    <w:rsid w:val="000B23C7"/>
    <w:rsid w:val="000B268D"/>
    <w:rsid w:val="000B291B"/>
    <w:rsid w:val="000B42B7"/>
    <w:rsid w:val="000B456C"/>
    <w:rsid w:val="000B4B56"/>
    <w:rsid w:val="000B4C62"/>
    <w:rsid w:val="000B54C1"/>
    <w:rsid w:val="000C02FC"/>
    <w:rsid w:val="000C0A43"/>
    <w:rsid w:val="000C104F"/>
    <w:rsid w:val="000C1411"/>
    <w:rsid w:val="000C1ADE"/>
    <w:rsid w:val="000C1C38"/>
    <w:rsid w:val="000C2264"/>
    <w:rsid w:val="000C256B"/>
    <w:rsid w:val="000C3970"/>
    <w:rsid w:val="000C3B1A"/>
    <w:rsid w:val="000C4727"/>
    <w:rsid w:val="000C47AE"/>
    <w:rsid w:val="000C4BE9"/>
    <w:rsid w:val="000C51AD"/>
    <w:rsid w:val="000C5374"/>
    <w:rsid w:val="000C5EC0"/>
    <w:rsid w:val="000C605F"/>
    <w:rsid w:val="000C6162"/>
    <w:rsid w:val="000C620A"/>
    <w:rsid w:val="000C6688"/>
    <w:rsid w:val="000C7BEB"/>
    <w:rsid w:val="000D0124"/>
    <w:rsid w:val="000D11E5"/>
    <w:rsid w:val="000D19E8"/>
    <w:rsid w:val="000D2834"/>
    <w:rsid w:val="000D2CAC"/>
    <w:rsid w:val="000D34C8"/>
    <w:rsid w:val="000D34FD"/>
    <w:rsid w:val="000D3BE5"/>
    <w:rsid w:val="000D3C37"/>
    <w:rsid w:val="000D453A"/>
    <w:rsid w:val="000D5EA6"/>
    <w:rsid w:val="000D5F00"/>
    <w:rsid w:val="000D6C9F"/>
    <w:rsid w:val="000D6E3B"/>
    <w:rsid w:val="000D7C9D"/>
    <w:rsid w:val="000D7CE0"/>
    <w:rsid w:val="000E2785"/>
    <w:rsid w:val="000E27BB"/>
    <w:rsid w:val="000E3153"/>
    <w:rsid w:val="000E386F"/>
    <w:rsid w:val="000E4051"/>
    <w:rsid w:val="000E4765"/>
    <w:rsid w:val="000E5B7E"/>
    <w:rsid w:val="000E5FF9"/>
    <w:rsid w:val="000E6AE1"/>
    <w:rsid w:val="000E7142"/>
    <w:rsid w:val="000E7632"/>
    <w:rsid w:val="000E7739"/>
    <w:rsid w:val="000E77EE"/>
    <w:rsid w:val="000F2940"/>
    <w:rsid w:val="000F2A13"/>
    <w:rsid w:val="000F3D08"/>
    <w:rsid w:val="000F4495"/>
    <w:rsid w:val="000F4A05"/>
    <w:rsid w:val="000F505B"/>
    <w:rsid w:val="000F51F6"/>
    <w:rsid w:val="000F68A0"/>
    <w:rsid w:val="000F6CC2"/>
    <w:rsid w:val="0010118C"/>
    <w:rsid w:val="0010125E"/>
    <w:rsid w:val="00101967"/>
    <w:rsid w:val="00101A8F"/>
    <w:rsid w:val="00102C57"/>
    <w:rsid w:val="00103EBD"/>
    <w:rsid w:val="00104E5B"/>
    <w:rsid w:val="00104EEC"/>
    <w:rsid w:val="001050DC"/>
    <w:rsid w:val="00105482"/>
    <w:rsid w:val="001056A5"/>
    <w:rsid w:val="00105BA9"/>
    <w:rsid w:val="00106AAA"/>
    <w:rsid w:val="00107BBD"/>
    <w:rsid w:val="00107BC7"/>
    <w:rsid w:val="001102B5"/>
    <w:rsid w:val="00111C7D"/>
    <w:rsid w:val="00112038"/>
    <w:rsid w:val="001127FF"/>
    <w:rsid w:val="00112B0B"/>
    <w:rsid w:val="0011383E"/>
    <w:rsid w:val="00114847"/>
    <w:rsid w:val="0011585B"/>
    <w:rsid w:val="00115B1A"/>
    <w:rsid w:val="001160FF"/>
    <w:rsid w:val="001168F8"/>
    <w:rsid w:val="001176FF"/>
    <w:rsid w:val="00120420"/>
    <w:rsid w:val="0012159D"/>
    <w:rsid w:val="00122376"/>
    <w:rsid w:val="001224FE"/>
    <w:rsid w:val="001231D3"/>
    <w:rsid w:val="001232A7"/>
    <w:rsid w:val="0012419E"/>
    <w:rsid w:val="001248EF"/>
    <w:rsid w:val="00124FC4"/>
    <w:rsid w:val="001253AB"/>
    <w:rsid w:val="0012574C"/>
    <w:rsid w:val="001259B8"/>
    <w:rsid w:val="0012693E"/>
    <w:rsid w:val="00130CAC"/>
    <w:rsid w:val="00130EE9"/>
    <w:rsid w:val="00131C2D"/>
    <w:rsid w:val="0013202C"/>
    <w:rsid w:val="00132CBF"/>
    <w:rsid w:val="00133742"/>
    <w:rsid w:val="001350F7"/>
    <w:rsid w:val="00135769"/>
    <w:rsid w:val="00135BE9"/>
    <w:rsid w:val="00136762"/>
    <w:rsid w:val="00136E33"/>
    <w:rsid w:val="0013773D"/>
    <w:rsid w:val="0014042F"/>
    <w:rsid w:val="00140693"/>
    <w:rsid w:val="00140D7A"/>
    <w:rsid w:val="001415DC"/>
    <w:rsid w:val="00141DFE"/>
    <w:rsid w:val="001433BC"/>
    <w:rsid w:val="00143F5D"/>
    <w:rsid w:val="00144649"/>
    <w:rsid w:val="00145022"/>
    <w:rsid w:val="00145662"/>
    <w:rsid w:val="00145C6D"/>
    <w:rsid w:val="00146151"/>
    <w:rsid w:val="00147032"/>
    <w:rsid w:val="00147644"/>
    <w:rsid w:val="00147EA7"/>
    <w:rsid w:val="00151B2F"/>
    <w:rsid w:val="001524DC"/>
    <w:rsid w:val="001525E5"/>
    <w:rsid w:val="00153859"/>
    <w:rsid w:val="001538C0"/>
    <w:rsid w:val="00153915"/>
    <w:rsid w:val="00153D68"/>
    <w:rsid w:val="00154CF7"/>
    <w:rsid w:val="00155B95"/>
    <w:rsid w:val="00156853"/>
    <w:rsid w:val="00157432"/>
    <w:rsid w:val="00161185"/>
    <w:rsid w:val="001623AC"/>
    <w:rsid w:val="00162BAA"/>
    <w:rsid w:val="00162F3D"/>
    <w:rsid w:val="0016488B"/>
    <w:rsid w:val="00165758"/>
    <w:rsid w:val="00165A65"/>
    <w:rsid w:val="00167478"/>
    <w:rsid w:val="00167594"/>
    <w:rsid w:val="001702BE"/>
    <w:rsid w:val="001704B3"/>
    <w:rsid w:val="0017105C"/>
    <w:rsid w:val="00171622"/>
    <w:rsid w:val="001721CF"/>
    <w:rsid w:val="001728FD"/>
    <w:rsid w:val="00172F02"/>
    <w:rsid w:val="00173631"/>
    <w:rsid w:val="0017372D"/>
    <w:rsid w:val="001737E0"/>
    <w:rsid w:val="00173C58"/>
    <w:rsid w:val="00173E59"/>
    <w:rsid w:val="0017437E"/>
    <w:rsid w:val="00174F57"/>
    <w:rsid w:val="00175078"/>
    <w:rsid w:val="001755DC"/>
    <w:rsid w:val="00180A47"/>
    <w:rsid w:val="001818FA"/>
    <w:rsid w:val="001827B7"/>
    <w:rsid w:val="001827EF"/>
    <w:rsid w:val="00182982"/>
    <w:rsid w:val="00182D68"/>
    <w:rsid w:val="00183031"/>
    <w:rsid w:val="00183468"/>
    <w:rsid w:val="0018397E"/>
    <w:rsid w:val="00184DBF"/>
    <w:rsid w:val="001852A8"/>
    <w:rsid w:val="00187243"/>
    <w:rsid w:val="00187C29"/>
    <w:rsid w:val="00190942"/>
    <w:rsid w:val="001909A7"/>
    <w:rsid w:val="00190BB5"/>
    <w:rsid w:val="00191174"/>
    <w:rsid w:val="00191459"/>
    <w:rsid w:val="0019174E"/>
    <w:rsid w:val="001923D5"/>
    <w:rsid w:val="00192991"/>
    <w:rsid w:val="00192D5A"/>
    <w:rsid w:val="00193B94"/>
    <w:rsid w:val="001940A7"/>
    <w:rsid w:val="00194BB1"/>
    <w:rsid w:val="00194BC6"/>
    <w:rsid w:val="00195070"/>
    <w:rsid w:val="0019526D"/>
    <w:rsid w:val="001956BE"/>
    <w:rsid w:val="0019602C"/>
    <w:rsid w:val="001969F2"/>
    <w:rsid w:val="00197265"/>
    <w:rsid w:val="0019756A"/>
    <w:rsid w:val="001A07F8"/>
    <w:rsid w:val="001A0A23"/>
    <w:rsid w:val="001A0C98"/>
    <w:rsid w:val="001A128B"/>
    <w:rsid w:val="001A1F0E"/>
    <w:rsid w:val="001A2740"/>
    <w:rsid w:val="001A473A"/>
    <w:rsid w:val="001A4ED9"/>
    <w:rsid w:val="001A5785"/>
    <w:rsid w:val="001A5FD7"/>
    <w:rsid w:val="001A66A6"/>
    <w:rsid w:val="001A6718"/>
    <w:rsid w:val="001A6BBB"/>
    <w:rsid w:val="001A71C1"/>
    <w:rsid w:val="001A79A2"/>
    <w:rsid w:val="001B13BF"/>
    <w:rsid w:val="001B16F5"/>
    <w:rsid w:val="001B1C1F"/>
    <w:rsid w:val="001B219B"/>
    <w:rsid w:val="001B2703"/>
    <w:rsid w:val="001B46B2"/>
    <w:rsid w:val="001B4725"/>
    <w:rsid w:val="001B48B2"/>
    <w:rsid w:val="001B49DA"/>
    <w:rsid w:val="001B4B84"/>
    <w:rsid w:val="001B4C3B"/>
    <w:rsid w:val="001B4CA8"/>
    <w:rsid w:val="001B572D"/>
    <w:rsid w:val="001B5B10"/>
    <w:rsid w:val="001B6D58"/>
    <w:rsid w:val="001B6FA7"/>
    <w:rsid w:val="001B7A15"/>
    <w:rsid w:val="001B7B69"/>
    <w:rsid w:val="001C08DB"/>
    <w:rsid w:val="001C10BD"/>
    <w:rsid w:val="001C1F01"/>
    <w:rsid w:val="001C232F"/>
    <w:rsid w:val="001C2544"/>
    <w:rsid w:val="001C2A17"/>
    <w:rsid w:val="001C31F5"/>
    <w:rsid w:val="001C3B22"/>
    <w:rsid w:val="001C57D8"/>
    <w:rsid w:val="001C603D"/>
    <w:rsid w:val="001C6047"/>
    <w:rsid w:val="001C6698"/>
    <w:rsid w:val="001C7CE0"/>
    <w:rsid w:val="001D005B"/>
    <w:rsid w:val="001D0947"/>
    <w:rsid w:val="001D0F3B"/>
    <w:rsid w:val="001D1581"/>
    <w:rsid w:val="001D16F5"/>
    <w:rsid w:val="001D1970"/>
    <w:rsid w:val="001D1D55"/>
    <w:rsid w:val="001D21EF"/>
    <w:rsid w:val="001D267D"/>
    <w:rsid w:val="001D29A4"/>
    <w:rsid w:val="001D330D"/>
    <w:rsid w:val="001D4AB6"/>
    <w:rsid w:val="001D4AD3"/>
    <w:rsid w:val="001E17E3"/>
    <w:rsid w:val="001E2052"/>
    <w:rsid w:val="001E257C"/>
    <w:rsid w:val="001E3049"/>
    <w:rsid w:val="001E35EE"/>
    <w:rsid w:val="001E4B2C"/>
    <w:rsid w:val="001E507F"/>
    <w:rsid w:val="001E59FB"/>
    <w:rsid w:val="001F0993"/>
    <w:rsid w:val="001F0FD1"/>
    <w:rsid w:val="001F19D1"/>
    <w:rsid w:val="001F1CB9"/>
    <w:rsid w:val="001F1F18"/>
    <w:rsid w:val="001F2F92"/>
    <w:rsid w:val="001F612E"/>
    <w:rsid w:val="001F77E8"/>
    <w:rsid w:val="00201B0F"/>
    <w:rsid w:val="00202800"/>
    <w:rsid w:val="00202D33"/>
    <w:rsid w:val="00202E58"/>
    <w:rsid w:val="00202F99"/>
    <w:rsid w:val="00203C85"/>
    <w:rsid w:val="00205298"/>
    <w:rsid w:val="00206698"/>
    <w:rsid w:val="00206736"/>
    <w:rsid w:val="00206C88"/>
    <w:rsid w:val="00207027"/>
    <w:rsid w:val="00210B9C"/>
    <w:rsid w:val="00212FB9"/>
    <w:rsid w:val="002135DE"/>
    <w:rsid w:val="00214028"/>
    <w:rsid w:val="002141C3"/>
    <w:rsid w:val="002141DC"/>
    <w:rsid w:val="00214479"/>
    <w:rsid w:val="002144F3"/>
    <w:rsid w:val="002146C3"/>
    <w:rsid w:val="0021479C"/>
    <w:rsid w:val="00215A2A"/>
    <w:rsid w:val="00215D21"/>
    <w:rsid w:val="00216387"/>
    <w:rsid w:val="002204BC"/>
    <w:rsid w:val="00220D5B"/>
    <w:rsid w:val="00220F7B"/>
    <w:rsid w:val="002213CE"/>
    <w:rsid w:val="00221AF7"/>
    <w:rsid w:val="00222494"/>
    <w:rsid w:val="00222775"/>
    <w:rsid w:val="00222A31"/>
    <w:rsid w:val="00222CF6"/>
    <w:rsid w:val="002244E4"/>
    <w:rsid w:val="00224D2A"/>
    <w:rsid w:val="00224D8D"/>
    <w:rsid w:val="0022555A"/>
    <w:rsid w:val="00226B44"/>
    <w:rsid w:val="0023079F"/>
    <w:rsid w:val="00230911"/>
    <w:rsid w:val="00231135"/>
    <w:rsid w:val="00233538"/>
    <w:rsid w:val="0023449F"/>
    <w:rsid w:val="002344F5"/>
    <w:rsid w:val="0023454D"/>
    <w:rsid w:val="00234679"/>
    <w:rsid w:val="002356E0"/>
    <w:rsid w:val="002360B7"/>
    <w:rsid w:val="00236690"/>
    <w:rsid w:val="0023669D"/>
    <w:rsid w:val="00237FA2"/>
    <w:rsid w:val="002403D5"/>
    <w:rsid w:val="00240F67"/>
    <w:rsid w:val="00241144"/>
    <w:rsid w:val="00242510"/>
    <w:rsid w:val="00242F79"/>
    <w:rsid w:val="0024415B"/>
    <w:rsid w:val="00245565"/>
    <w:rsid w:val="002458C1"/>
    <w:rsid w:val="00246357"/>
    <w:rsid w:val="00246558"/>
    <w:rsid w:val="00247422"/>
    <w:rsid w:val="00247BA2"/>
    <w:rsid w:val="002512F8"/>
    <w:rsid w:val="002513FF"/>
    <w:rsid w:val="0025184F"/>
    <w:rsid w:val="00251967"/>
    <w:rsid w:val="002527CC"/>
    <w:rsid w:val="00253586"/>
    <w:rsid w:val="002537FC"/>
    <w:rsid w:val="002542F8"/>
    <w:rsid w:val="002543EF"/>
    <w:rsid w:val="00255784"/>
    <w:rsid w:val="0025631F"/>
    <w:rsid w:val="00256986"/>
    <w:rsid w:val="00257246"/>
    <w:rsid w:val="0025739D"/>
    <w:rsid w:val="00257438"/>
    <w:rsid w:val="0026212A"/>
    <w:rsid w:val="00263044"/>
    <w:rsid w:val="00263759"/>
    <w:rsid w:val="002638BD"/>
    <w:rsid w:val="00263C63"/>
    <w:rsid w:val="0026470B"/>
    <w:rsid w:val="0026486D"/>
    <w:rsid w:val="00264C4B"/>
    <w:rsid w:val="00264ED0"/>
    <w:rsid w:val="002660C3"/>
    <w:rsid w:val="00266DE1"/>
    <w:rsid w:val="00267A92"/>
    <w:rsid w:val="00267E43"/>
    <w:rsid w:val="00270282"/>
    <w:rsid w:val="00270D61"/>
    <w:rsid w:val="0027244F"/>
    <w:rsid w:val="002739CE"/>
    <w:rsid w:val="00273C5F"/>
    <w:rsid w:val="002745B7"/>
    <w:rsid w:val="002751CA"/>
    <w:rsid w:val="0027544D"/>
    <w:rsid w:val="002775ED"/>
    <w:rsid w:val="002778AB"/>
    <w:rsid w:val="002802A5"/>
    <w:rsid w:val="00280CFB"/>
    <w:rsid w:val="002815C4"/>
    <w:rsid w:val="00281BCB"/>
    <w:rsid w:val="00281C76"/>
    <w:rsid w:val="002829C6"/>
    <w:rsid w:val="00283296"/>
    <w:rsid w:val="0028583E"/>
    <w:rsid w:val="00285853"/>
    <w:rsid w:val="00285B1A"/>
    <w:rsid w:val="00285FF3"/>
    <w:rsid w:val="002866EC"/>
    <w:rsid w:val="0028744E"/>
    <w:rsid w:val="00287936"/>
    <w:rsid w:val="002903C5"/>
    <w:rsid w:val="00290A99"/>
    <w:rsid w:val="00290DED"/>
    <w:rsid w:val="00290EAF"/>
    <w:rsid w:val="0029159A"/>
    <w:rsid w:val="00292AA1"/>
    <w:rsid w:val="0029499D"/>
    <w:rsid w:val="00294A13"/>
    <w:rsid w:val="00294B10"/>
    <w:rsid w:val="00294DF9"/>
    <w:rsid w:val="00295073"/>
    <w:rsid w:val="00296C32"/>
    <w:rsid w:val="002977CE"/>
    <w:rsid w:val="00297AF5"/>
    <w:rsid w:val="002A02D6"/>
    <w:rsid w:val="002A07C4"/>
    <w:rsid w:val="002A0921"/>
    <w:rsid w:val="002A0CB3"/>
    <w:rsid w:val="002A1887"/>
    <w:rsid w:val="002A1E24"/>
    <w:rsid w:val="002A2001"/>
    <w:rsid w:val="002A3B9F"/>
    <w:rsid w:val="002A4060"/>
    <w:rsid w:val="002A4A05"/>
    <w:rsid w:val="002A4EB3"/>
    <w:rsid w:val="002A51D9"/>
    <w:rsid w:val="002A5968"/>
    <w:rsid w:val="002A5B43"/>
    <w:rsid w:val="002A5CAB"/>
    <w:rsid w:val="002A5D40"/>
    <w:rsid w:val="002A64E7"/>
    <w:rsid w:val="002A7ED3"/>
    <w:rsid w:val="002A7FC9"/>
    <w:rsid w:val="002B139C"/>
    <w:rsid w:val="002B1881"/>
    <w:rsid w:val="002B1F61"/>
    <w:rsid w:val="002B2906"/>
    <w:rsid w:val="002B34E3"/>
    <w:rsid w:val="002B5AEE"/>
    <w:rsid w:val="002B6177"/>
    <w:rsid w:val="002B650C"/>
    <w:rsid w:val="002B68E6"/>
    <w:rsid w:val="002B6985"/>
    <w:rsid w:val="002C0301"/>
    <w:rsid w:val="002C0326"/>
    <w:rsid w:val="002C0A9F"/>
    <w:rsid w:val="002C1AB3"/>
    <w:rsid w:val="002C1BB7"/>
    <w:rsid w:val="002C2665"/>
    <w:rsid w:val="002C28E1"/>
    <w:rsid w:val="002C327D"/>
    <w:rsid w:val="002C3890"/>
    <w:rsid w:val="002C3AD9"/>
    <w:rsid w:val="002C45C3"/>
    <w:rsid w:val="002C483B"/>
    <w:rsid w:val="002C643D"/>
    <w:rsid w:val="002C70E7"/>
    <w:rsid w:val="002C7181"/>
    <w:rsid w:val="002C79BC"/>
    <w:rsid w:val="002D0A93"/>
    <w:rsid w:val="002D0E88"/>
    <w:rsid w:val="002D1593"/>
    <w:rsid w:val="002D22A6"/>
    <w:rsid w:val="002D2819"/>
    <w:rsid w:val="002D2CD6"/>
    <w:rsid w:val="002D2F81"/>
    <w:rsid w:val="002D38A3"/>
    <w:rsid w:val="002D3BA3"/>
    <w:rsid w:val="002D4892"/>
    <w:rsid w:val="002D4D06"/>
    <w:rsid w:val="002D4DAE"/>
    <w:rsid w:val="002D4EE7"/>
    <w:rsid w:val="002D4EED"/>
    <w:rsid w:val="002D6097"/>
    <w:rsid w:val="002D65AD"/>
    <w:rsid w:val="002D6782"/>
    <w:rsid w:val="002D74A4"/>
    <w:rsid w:val="002D7DB2"/>
    <w:rsid w:val="002D7EA8"/>
    <w:rsid w:val="002E00E1"/>
    <w:rsid w:val="002E03AE"/>
    <w:rsid w:val="002E0542"/>
    <w:rsid w:val="002E05F2"/>
    <w:rsid w:val="002E0E87"/>
    <w:rsid w:val="002E13CF"/>
    <w:rsid w:val="002E201C"/>
    <w:rsid w:val="002E203B"/>
    <w:rsid w:val="002E236F"/>
    <w:rsid w:val="002E32B7"/>
    <w:rsid w:val="002E3956"/>
    <w:rsid w:val="002E3C08"/>
    <w:rsid w:val="002E4176"/>
    <w:rsid w:val="002E469E"/>
    <w:rsid w:val="002E4C01"/>
    <w:rsid w:val="002E4D50"/>
    <w:rsid w:val="002E55FF"/>
    <w:rsid w:val="002E587E"/>
    <w:rsid w:val="002E672A"/>
    <w:rsid w:val="002E6853"/>
    <w:rsid w:val="002E7EC1"/>
    <w:rsid w:val="002E7EE5"/>
    <w:rsid w:val="002F0323"/>
    <w:rsid w:val="002F134F"/>
    <w:rsid w:val="002F1D0B"/>
    <w:rsid w:val="002F1F02"/>
    <w:rsid w:val="002F27E5"/>
    <w:rsid w:val="002F2D81"/>
    <w:rsid w:val="002F4BA9"/>
    <w:rsid w:val="002F541B"/>
    <w:rsid w:val="002F5BFE"/>
    <w:rsid w:val="002F6EFF"/>
    <w:rsid w:val="002F7DF0"/>
    <w:rsid w:val="002F7FAF"/>
    <w:rsid w:val="0030078A"/>
    <w:rsid w:val="00301CA5"/>
    <w:rsid w:val="00301CC0"/>
    <w:rsid w:val="00302034"/>
    <w:rsid w:val="00303AB6"/>
    <w:rsid w:val="00304640"/>
    <w:rsid w:val="00304AC1"/>
    <w:rsid w:val="00305090"/>
    <w:rsid w:val="00305454"/>
    <w:rsid w:val="00305589"/>
    <w:rsid w:val="00305B9F"/>
    <w:rsid w:val="00305E21"/>
    <w:rsid w:val="003066C6"/>
    <w:rsid w:val="003066FA"/>
    <w:rsid w:val="00306AD6"/>
    <w:rsid w:val="00307DC7"/>
    <w:rsid w:val="00310EDB"/>
    <w:rsid w:val="00312B5E"/>
    <w:rsid w:val="00312DFC"/>
    <w:rsid w:val="0031318C"/>
    <w:rsid w:val="00313C9D"/>
    <w:rsid w:val="0031430C"/>
    <w:rsid w:val="00314C5A"/>
    <w:rsid w:val="0031531A"/>
    <w:rsid w:val="00315394"/>
    <w:rsid w:val="00315D77"/>
    <w:rsid w:val="00316CDE"/>
    <w:rsid w:val="0031752D"/>
    <w:rsid w:val="00320688"/>
    <w:rsid w:val="0032226D"/>
    <w:rsid w:val="00324038"/>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D52"/>
    <w:rsid w:val="00333337"/>
    <w:rsid w:val="00333A28"/>
    <w:rsid w:val="003360AD"/>
    <w:rsid w:val="0033631D"/>
    <w:rsid w:val="00337409"/>
    <w:rsid w:val="003405AF"/>
    <w:rsid w:val="0034088F"/>
    <w:rsid w:val="00340B3E"/>
    <w:rsid w:val="003413D2"/>
    <w:rsid w:val="00343079"/>
    <w:rsid w:val="00343860"/>
    <w:rsid w:val="003438CC"/>
    <w:rsid w:val="00344066"/>
    <w:rsid w:val="00344BBF"/>
    <w:rsid w:val="0034509B"/>
    <w:rsid w:val="00345644"/>
    <w:rsid w:val="00345D7A"/>
    <w:rsid w:val="0034607E"/>
    <w:rsid w:val="00346B6D"/>
    <w:rsid w:val="00346BA3"/>
    <w:rsid w:val="00347356"/>
    <w:rsid w:val="00350651"/>
    <w:rsid w:val="00350896"/>
    <w:rsid w:val="00350C31"/>
    <w:rsid w:val="00351834"/>
    <w:rsid w:val="003519CD"/>
    <w:rsid w:val="00351A3A"/>
    <w:rsid w:val="00352987"/>
    <w:rsid w:val="0035455F"/>
    <w:rsid w:val="00355D8F"/>
    <w:rsid w:val="00356FF0"/>
    <w:rsid w:val="003577EF"/>
    <w:rsid w:val="00360304"/>
    <w:rsid w:val="00360A78"/>
    <w:rsid w:val="00361750"/>
    <w:rsid w:val="00363B2A"/>
    <w:rsid w:val="00363BF1"/>
    <w:rsid w:val="00364CB3"/>
    <w:rsid w:val="00366779"/>
    <w:rsid w:val="003668E5"/>
    <w:rsid w:val="003669C8"/>
    <w:rsid w:val="00366CEB"/>
    <w:rsid w:val="003672B3"/>
    <w:rsid w:val="003676DF"/>
    <w:rsid w:val="00367783"/>
    <w:rsid w:val="003679D3"/>
    <w:rsid w:val="00367A87"/>
    <w:rsid w:val="00367EE7"/>
    <w:rsid w:val="003705EA"/>
    <w:rsid w:val="00370A56"/>
    <w:rsid w:val="00371EA0"/>
    <w:rsid w:val="00372842"/>
    <w:rsid w:val="003729A5"/>
    <w:rsid w:val="00372C89"/>
    <w:rsid w:val="00372E9A"/>
    <w:rsid w:val="003735B9"/>
    <w:rsid w:val="00374677"/>
    <w:rsid w:val="003748BE"/>
    <w:rsid w:val="00375850"/>
    <w:rsid w:val="0037632F"/>
    <w:rsid w:val="00377B26"/>
    <w:rsid w:val="00381014"/>
    <w:rsid w:val="00381604"/>
    <w:rsid w:val="00381C68"/>
    <w:rsid w:val="00381F60"/>
    <w:rsid w:val="00383AB0"/>
    <w:rsid w:val="003847BB"/>
    <w:rsid w:val="00384814"/>
    <w:rsid w:val="00384C0A"/>
    <w:rsid w:val="0038571E"/>
    <w:rsid w:val="00385B16"/>
    <w:rsid w:val="00385B96"/>
    <w:rsid w:val="0038637D"/>
    <w:rsid w:val="00386C07"/>
    <w:rsid w:val="00386F58"/>
    <w:rsid w:val="0038700D"/>
    <w:rsid w:val="00390B8F"/>
    <w:rsid w:val="00390C0D"/>
    <w:rsid w:val="00391447"/>
    <w:rsid w:val="003919D9"/>
    <w:rsid w:val="00391BDD"/>
    <w:rsid w:val="003922DE"/>
    <w:rsid w:val="00392E35"/>
    <w:rsid w:val="00393551"/>
    <w:rsid w:val="00393FCD"/>
    <w:rsid w:val="00393FD8"/>
    <w:rsid w:val="003944EA"/>
    <w:rsid w:val="00394639"/>
    <w:rsid w:val="00394DF6"/>
    <w:rsid w:val="003962E6"/>
    <w:rsid w:val="00396831"/>
    <w:rsid w:val="003971A1"/>
    <w:rsid w:val="003A0E2D"/>
    <w:rsid w:val="003A12B6"/>
    <w:rsid w:val="003A20D5"/>
    <w:rsid w:val="003A24CC"/>
    <w:rsid w:val="003A2EE8"/>
    <w:rsid w:val="003A3372"/>
    <w:rsid w:val="003A373C"/>
    <w:rsid w:val="003A4C3B"/>
    <w:rsid w:val="003A5378"/>
    <w:rsid w:val="003A6008"/>
    <w:rsid w:val="003A703F"/>
    <w:rsid w:val="003A7A6A"/>
    <w:rsid w:val="003A7E2B"/>
    <w:rsid w:val="003A7E40"/>
    <w:rsid w:val="003B0336"/>
    <w:rsid w:val="003B0A3A"/>
    <w:rsid w:val="003B0D79"/>
    <w:rsid w:val="003B2930"/>
    <w:rsid w:val="003B31A7"/>
    <w:rsid w:val="003B3DCA"/>
    <w:rsid w:val="003B3ED9"/>
    <w:rsid w:val="003B4B51"/>
    <w:rsid w:val="003B514E"/>
    <w:rsid w:val="003B636A"/>
    <w:rsid w:val="003B640F"/>
    <w:rsid w:val="003B69CE"/>
    <w:rsid w:val="003B6FBA"/>
    <w:rsid w:val="003B762F"/>
    <w:rsid w:val="003C011C"/>
    <w:rsid w:val="003C1B97"/>
    <w:rsid w:val="003C3292"/>
    <w:rsid w:val="003C33D5"/>
    <w:rsid w:val="003C3C1E"/>
    <w:rsid w:val="003C4134"/>
    <w:rsid w:val="003C435B"/>
    <w:rsid w:val="003C4EBE"/>
    <w:rsid w:val="003C62EC"/>
    <w:rsid w:val="003C685A"/>
    <w:rsid w:val="003C6D8A"/>
    <w:rsid w:val="003C6E9C"/>
    <w:rsid w:val="003C746F"/>
    <w:rsid w:val="003C76E6"/>
    <w:rsid w:val="003C7F12"/>
    <w:rsid w:val="003D03D6"/>
    <w:rsid w:val="003D14C8"/>
    <w:rsid w:val="003D1517"/>
    <w:rsid w:val="003D2DA0"/>
    <w:rsid w:val="003D30A3"/>
    <w:rsid w:val="003D34C3"/>
    <w:rsid w:val="003D3D83"/>
    <w:rsid w:val="003D4685"/>
    <w:rsid w:val="003D4A41"/>
    <w:rsid w:val="003D52AE"/>
    <w:rsid w:val="003D5ADB"/>
    <w:rsid w:val="003D646C"/>
    <w:rsid w:val="003D663E"/>
    <w:rsid w:val="003D6793"/>
    <w:rsid w:val="003D6B03"/>
    <w:rsid w:val="003D75D8"/>
    <w:rsid w:val="003E006E"/>
    <w:rsid w:val="003E04B6"/>
    <w:rsid w:val="003E0E96"/>
    <w:rsid w:val="003E20F7"/>
    <w:rsid w:val="003E336A"/>
    <w:rsid w:val="003E3E2F"/>
    <w:rsid w:val="003E4048"/>
    <w:rsid w:val="003E4F9A"/>
    <w:rsid w:val="003E60DA"/>
    <w:rsid w:val="003E6E00"/>
    <w:rsid w:val="003E7111"/>
    <w:rsid w:val="003E7940"/>
    <w:rsid w:val="003E7F20"/>
    <w:rsid w:val="003F01BD"/>
    <w:rsid w:val="003F0486"/>
    <w:rsid w:val="003F048E"/>
    <w:rsid w:val="003F0AFF"/>
    <w:rsid w:val="003F26DC"/>
    <w:rsid w:val="003F42FF"/>
    <w:rsid w:val="003F4B48"/>
    <w:rsid w:val="003F4DDC"/>
    <w:rsid w:val="003F5249"/>
    <w:rsid w:val="003F56B8"/>
    <w:rsid w:val="003F6327"/>
    <w:rsid w:val="003F7425"/>
    <w:rsid w:val="003F765B"/>
    <w:rsid w:val="003F7CB8"/>
    <w:rsid w:val="00400CB4"/>
    <w:rsid w:val="00401386"/>
    <w:rsid w:val="004013E6"/>
    <w:rsid w:val="00401E31"/>
    <w:rsid w:val="00402306"/>
    <w:rsid w:val="004026A1"/>
    <w:rsid w:val="00402BBA"/>
    <w:rsid w:val="004035D0"/>
    <w:rsid w:val="00403795"/>
    <w:rsid w:val="004041FB"/>
    <w:rsid w:val="004056B6"/>
    <w:rsid w:val="00405764"/>
    <w:rsid w:val="00406745"/>
    <w:rsid w:val="0040674B"/>
    <w:rsid w:val="00406B32"/>
    <w:rsid w:val="004074FA"/>
    <w:rsid w:val="00407A56"/>
    <w:rsid w:val="00407FCC"/>
    <w:rsid w:val="0041035A"/>
    <w:rsid w:val="004112D1"/>
    <w:rsid w:val="004113C9"/>
    <w:rsid w:val="00411638"/>
    <w:rsid w:val="004120DF"/>
    <w:rsid w:val="00414909"/>
    <w:rsid w:val="00415034"/>
    <w:rsid w:val="00415B1A"/>
    <w:rsid w:val="0041690F"/>
    <w:rsid w:val="00416D41"/>
    <w:rsid w:val="00417264"/>
    <w:rsid w:val="004210C0"/>
    <w:rsid w:val="004211DD"/>
    <w:rsid w:val="004211E4"/>
    <w:rsid w:val="00421762"/>
    <w:rsid w:val="00421D4B"/>
    <w:rsid w:val="00421ED8"/>
    <w:rsid w:val="00422907"/>
    <w:rsid w:val="00423125"/>
    <w:rsid w:val="00423309"/>
    <w:rsid w:val="004233AD"/>
    <w:rsid w:val="00424446"/>
    <w:rsid w:val="00425341"/>
    <w:rsid w:val="00426B2C"/>
    <w:rsid w:val="00426F6C"/>
    <w:rsid w:val="00427FA8"/>
    <w:rsid w:val="0043026B"/>
    <w:rsid w:val="004306D4"/>
    <w:rsid w:val="00432ECA"/>
    <w:rsid w:val="00433628"/>
    <w:rsid w:val="00433E50"/>
    <w:rsid w:val="0043554E"/>
    <w:rsid w:val="004355D4"/>
    <w:rsid w:val="004357B1"/>
    <w:rsid w:val="00435821"/>
    <w:rsid w:val="0043583E"/>
    <w:rsid w:val="004362E0"/>
    <w:rsid w:val="00436CCE"/>
    <w:rsid w:val="00436EAD"/>
    <w:rsid w:val="004375E1"/>
    <w:rsid w:val="00437A2F"/>
    <w:rsid w:val="00440262"/>
    <w:rsid w:val="004406BF"/>
    <w:rsid w:val="00440814"/>
    <w:rsid w:val="00442731"/>
    <w:rsid w:val="00442C12"/>
    <w:rsid w:val="004434DF"/>
    <w:rsid w:val="00443E33"/>
    <w:rsid w:val="00445874"/>
    <w:rsid w:val="00445C38"/>
    <w:rsid w:val="004475F7"/>
    <w:rsid w:val="0045057B"/>
    <w:rsid w:val="0045069B"/>
    <w:rsid w:val="00450B22"/>
    <w:rsid w:val="00451524"/>
    <w:rsid w:val="00451709"/>
    <w:rsid w:val="00451A02"/>
    <w:rsid w:val="0045277C"/>
    <w:rsid w:val="00453DB6"/>
    <w:rsid w:val="004543AB"/>
    <w:rsid w:val="00455967"/>
    <w:rsid w:val="00455F71"/>
    <w:rsid w:val="00456272"/>
    <w:rsid w:val="00457517"/>
    <w:rsid w:val="00457CF7"/>
    <w:rsid w:val="00457D37"/>
    <w:rsid w:val="0046028A"/>
    <w:rsid w:val="00460E68"/>
    <w:rsid w:val="004614BC"/>
    <w:rsid w:val="00461BD9"/>
    <w:rsid w:val="00461F80"/>
    <w:rsid w:val="0046240D"/>
    <w:rsid w:val="00463208"/>
    <w:rsid w:val="00463330"/>
    <w:rsid w:val="00463576"/>
    <w:rsid w:val="0046399D"/>
    <w:rsid w:val="00463EA4"/>
    <w:rsid w:val="00465104"/>
    <w:rsid w:val="00465A21"/>
    <w:rsid w:val="00465DE5"/>
    <w:rsid w:val="00466978"/>
    <w:rsid w:val="00466ABA"/>
    <w:rsid w:val="004672E3"/>
    <w:rsid w:val="0046775D"/>
    <w:rsid w:val="00467823"/>
    <w:rsid w:val="004705FA"/>
    <w:rsid w:val="004708AC"/>
    <w:rsid w:val="00471387"/>
    <w:rsid w:val="00471963"/>
    <w:rsid w:val="004724B8"/>
    <w:rsid w:val="004728FB"/>
    <w:rsid w:val="00472CA7"/>
    <w:rsid w:val="00472CEC"/>
    <w:rsid w:val="00473308"/>
    <w:rsid w:val="0047471E"/>
    <w:rsid w:val="004749DA"/>
    <w:rsid w:val="00474D65"/>
    <w:rsid w:val="00474DEF"/>
    <w:rsid w:val="004753CC"/>
    <w:rsid w:val="004758E7"/>
    <w:rsid w:val="00475BAB"/>
    <w:rsid w:val="0047627A"/>
    <w:rsid w:val="004764C6"/>
    <w:rsid w:val="00476F97"/>
    <w:rsid w:val="00477247"/>
    <w:rsid w:val="004776BB"/>
    <w:rsid w:val="004800DB"/>
    <w:rsid w:val="0048055E"/>
    <w:rsid w:val="00480C2B"/>
    <w:rsid w:val="00480DC5"/>
    <w:rsid w:val="004824A9"/>
    <w:rsid w:val="00483140"/>
    <w:rsid w:val="00483984"/>
    <w:rsid w:val="00483BC7"/>
    <w:rsid w:val="00483CF0"/>
    <w:rsid w:val="00484D4D"/>
    <w:rsid w:val="0048664F"/>
    <w:rsid w:val="004868AD"/>
    <w:rsid w:val="00486D00"/>
    <w:rsid w:val="004870F7"/>
    <w:rsid w:val="00487FE1"/>
    <w:rsid w:val="00490707"/>
    <w:rsid w:val="00490815"/>
    <w:rsid w:val="00491025"/>
    <w:rsid w:val="0049117E"/>
    <w:rsid w:val="00492503"/>
    <w:rsid w:val="004925C8"/>
    <w:rsid w:val="00492AF9"/>
    <w:rsid w:val="00492B76"/>
    <w:rsid w:val="0049333E"/>
    <w:rsid w:val="0049418F"/>
    <w:rsid w:val="004954DC"/>
    <w:rsid w:val="0049570D"/>
    <w:rsid w:val="00495DC6"/>
    <w:rsid w:val="00496CCE"/>
    <w:rsid w:val="00496F1D"/>
    <w:rsid w:val="00497AAD"/>
    <w:rsid w:val="00497BD7"/>
    <w:rsid w:val="00497D1A"/>
    <w:rsid w:val="004A0E23"/>
    <w:rsid w:val="004A1049"/>
    <w:rsid w:val="004A1229"/>
    <w:rsid w:val="004A1EA7"/>
    <w:rsid w:val="004A2EF8"/>
    <w:rsid w:val="004A3A21"/>
    <w:rsid w:val="004A4E3B"/>
    <w:rsid w:val="004A64F9"/>
    <w:rsid w:val="004B026C"/>
    <w:rsid w:val="004B0271"/>
    <w:rsid w:val="004B0BE8"/>
    <w:rsid w:val="004B0E4A"/>
    <w:rsid w:val="004B18F4"/>
    <w:rsid w:val="004B1A98"/>
    <w:rsid w:val="004B2463"/>
    <w:rsid w:val="004B2730"/>
    <w:rsid w:val="004B305F"/>
    <w:rsid w:val="004B34C4"/>
    <w:rsid w:val="004B34E8"/>
    <w:rsid w:val="004B3981"/>
    <w:rsid w:val="004B3A03"/>
    <w:rsid w:val="004B419F"/>
    <w:rsid w:val="004B4EA9"/>
    <w:rsid w:val="004B5F09"/>
    <w:rsid w:val="004B6E50"/>
    <w:rsid w:val="004B7317"/>
    <w:rsid w:val="004B75B2"/>
    <w:rsid w:val="004C0BF0"/>
    <w:rsid w:val="004C0D40"/>
    <w:rsid w:val="004C114F"/>
    <w:rsid w:val="004C11A9"/>
    <w:rsid w:val="004C27CF"/>
    <w:rsid w:val="004C2CA7"/>
    <w:rsid w:val="004C2E4F"/>
    <w:rsid w:val="004C3238"/>
    <w:rsid w:val="004C3CCC"/>
    <w:rsid w:val="004C45C8"/>
    <w:rsid w:val="004C4EF2"/>
    <w:rsid w:val="004C555F"/>
    <w:rsid w:val="004C5F4B"/>
    <w:rsid w:val="004C612E"/>
    <w:rsid w:val="004C61B8"/>
    <w:rsid w:val="004C6220"/>
    <w:rsid w:val="004C6C0A"/>
    <w:rsid w:val="004C6C6D"/>
    <w:rsid w:val="004C77FF"/>
    <w:rsid w:val="004C7DB0"/>
    <w:rsid w:val="004D0223"/>
    <w:rsid w:val="004D16A3"/>
    <w:rsid w:val="004D1934"/>
    <w:rsid w:val="004D1E41"/>
    <w:rsid w:val="004D2326"/>
    <w:rsid w:val="004D24B2"/>
    <w:rsid w:val="004D293C"/>
    <w:rsid w:val="004D2E11"/>
    <w:rsid w:val="004D329C"/>
    <w:rsid w:val="004D34D1"/>
    <w:rsid w:val="004D4523"/>
    <w:rsid w:val="004D51D6"/>
    <w:rsid w:val="004D6BF2"/>
    <w:rsid w:val="004D6F29"/>
    <w:rsid w:val="004D7BF5"/>
    <w:rsid w:val="004D7F9C"/>
    <w:rsid w:val="004E03F4"/>
    <w:rsid w:val="004E068F"/>
    <w:rsid w:val="004E09CF"/>
    <w:rsid w:val="004E0B75"/>
    <w:rsid w:val="004E1D6F"/>
    <w:rsid w:val="004E2393"/>
    <w:rsid w:val="004E3117"/>
    <w:rsid w:val="004E3A2A"/>
    <w:rsid w:val="004E3AB1"/>
    <w:rsid w:val="004E4003"/>
    <w:rsid w:val="004E4626"/>
    <w:rsid w:val="004E47AB"/>
    <w:rsid w:val="004E5380"/>
    <w:rsid w:val="004E5EE3"/>
    <w:rsid w:val="004E6746"/>
    <w:rsid w:val="004E6CAC"/>
    <w:rsid w:val="004E75C1"/>
    <w:rsid w:val="004E777F"/>
    <w:rsid w:val="004F0166"/>
    <w:rsid w:val="004F07F2"/>
    <w:rsid w:val="004F07F9"/>
    <w:rsid w:val="004F0E82"/>
    <w:rsid w:val="004F1523"/>
    <w:rsid w:val="004F1847"/>
    <w:rsid w:val="004F1F9E"/>
    <w:rsid w:val="004F2CB6"/>
    <w:rsid w:val="004F2E6E"/>
    <w:rsid w:val="004F3015"/>
    <w:rsid w:val="004F313F"/>
    <w:rsid w:val="004F3EEF"/>
    <w:rsid w:val="004F43A7"/>
    <w:rsid w:val="004F447B"/>
    <w:rsid w:val="004F4867"/>
    <w:rsid w:val="004F497C"/>
    <w:rsid w:val="004F4FE8"/>
    <w:rsid w:val="004F531B"/>
    <w:rsid w:val="004F560C"/>
    <w:rsid w:val="004F5DBB"/>
    <w:rsid w:val="004F61A3"/>
    <w:rsid w:val="004F67CC"/>
    <w:rsid w:val="004F6874"/>
    <w:rsid w:val="004F7922"/>
    <w:rsid w:val="004F7A1F"/>
    <w:rsid w:val="004F7B47"/>
    <w:rsid w:val="0050079C"/>
    <w:rsid w:val="0050106A"/>
    <w:rsid w:val="005010BC"/>
    <w:rsid w:val="0050537D"/>
    <w:rsid w:val="005060AE"/>
    <w:rsid w:val="0050790B"/>
    <w:rsid w:val="0051037C"/>
    <w:rsid w:val="0051050F"/>
    <w:rsid w:val="00510DDC"/>
    <w:rsid w:val="005131A2"/>
    <w:rsid w:val="005137E4"/>
    <w:rsid w:val="00513BB9"/>
    <w:rsid w:val="0051440E"/>
    <w:rsid w:val="00515973"/>
    <w:rsid w:val="00517AC8"/>
    <w:rsid w:val="00517C3E"/>
    <w:rsid w:val="005212F4"/>
    <w:rsid w:val="00521908"/>
    <w:rsid w:val="00521C30"/>
    <w:rsid w:val="00522363"/>
    <w:rsid w:val="00523946"/>
    <w:rsid w:val="0052397A"/>
    <w:rsid w:val="005253EE"/>
    <w:rsid w:val="005256D6"/>
    <w:rsid w:val="00525AD8"/>
    <w:rsid w:val="00526429"/>
    <w:rsid w:val="005266C1"/>
    <w:rsid w:val="005267F4"/>
    <w:rsid w:val="00527317"/>
    <w:rsid w:val="00527ED6"/>
    <w:rsid w:val="00531064"/>
    <w:rsid w:val="00531911"/>
    <w:rsid w:val="00531E92"/>
    <w:rsid w:val="005324D7"/>
    <w:rsid w:val="005335A2"/>
    <w:rsid w:val="005337A1"/>
    <w:rsid w:val="00533AC0"/>
    <w:rsid w:val="00533D5A"/>
    <w:rsid w:val="00533DEC"/>
    <w:rsid w:val="00534842"/>
    <w:rsid w:val="00536B03"/>
    <w:rsid w:val="00537456"/>
    <w:rsid w:val="005405B2"/>
    <w:rsid w:val="0054076A"/>
    <w:rsid w:val="00540D47"/>
    <w:rsid w:val="00540EE7"/>
    <w:rsid w:val="00541A22"/>
    <w:rsid w:val="00541EAD"/>
    <w:rsid w:val="005424C2"/>
    <w:rsid w:val="005426B2"/>
    <w:rsid w:val="00543519"/>
    <w:rsid w:val="00543640"/>
    <w:rsid w:val="005444C6"/>
    <w:rsid w:val="00544BF9"/>
    <w:rsid w:val="00544F05"/>
    <w:rsid w:val="005454B8"/>
    <w:rsid w:val="00545ACB"/>
    <w:rsid w:val="00545DB9"/>
    <w:rsid w:val="00546BF8"/>
    <w:rsid w:val="00547BA2"/>
    <w:rsid w:val="00550AC5"/>
    <w:rsid w:val="00550B7E"/>
    <w:rsid w:val="00551052"/>
    <w:rsid w:val="005524ED"/>
    <w:rsid w:val="00554007"/>
    <w:rsid w:val="005540B6"/>
    <w:rsid w:val="005549A2"/>
    <w:rsid w:val="00554C03"/>
    <w:rsid w:val="00554C58"/>
    <w:rsid w:val="005550F9"/>
    <w:rsid w:val="00555E87"/>
    <w:rsid w:val="00556338"/>
    <w:rsid w:val="00556441"/>
    <w:rsid w:val="00557031"/>
    <w:rsid w:val="00560FCB"/>
    <w:rsid w:val="0056111C"/>
    <w:rsid w:val="00561140"/>
    <w:rsid w:val="00561412"/>
    <w:rsid w:val="00561667"/>
    <w:rsid w:val="00561903"/>
    <w:rsid w:val="00561A9B"/>
    <w:rsid w:val="00561E54"/>
    <w:rsid w:val="00562FB1"/>
    <w:rsid w:val="00563068"/>
    <w:rsid w:val="0056376A"/>
    <w:rsid w:val="00563B3C"/>
    <w:rsid w:val="00564DA7"/>
    <w:rsid w:val="00565204"/>
    <w:rsid w:val="00565473"/>
    <w:rsid w:val="00565DAC"/>
    <w:rsid w:val="00565F0D"/>
    <w:rsid w:val="005662DC"/>
    <w:rsid w:val="00566329"/>
    <w:rsid w:val="005664A9"/>
    <w:rsid w:val="00566ACB"/>
    <w:rsid w:val="00566E6C"/>
    <w:rsid w:val="00567623"/>
    <w:rsid w:val="005701C2"/>
    <w:rsid w:val="00573092"/>
    <w:rsid w:val="00573560"/>
    <w:rsid w:val="00574E7B"/>
    <w:rsid w:val="00576B5C"/>
    <w:rsid w:val="005802F9"/>
    <w:rsid w:val="005808FF"/>
    <w:rsid w:val="00580B76"/>
    <w:rsid w:val="00580DFC"/>
    <w:rsid w:val="005827A7"/>
    <w:rsid w:val="00583D43"/>
    <w:rsid w:val="005846C3"/>
    <w:rsid w:val="00584F04"/>
    <w:rsid w:val="00585623"/>
    <w:rsid w:val="005857F7"/>
    <w:rsid w:val="00586F9F"/>
    <w:rsid w:val="00587D7B"/>
    <w:rsid w:val="005904DB"/>
    <w:rsid w:val="005905ED"/>
    <w:rsid w:val="00592825"/>
    <w:rsid w:val="005931A0"/>
    <w:rsid w:val="00594437"/>
    <w:rsid w:val="00594B70"/>
    <w:rsid w:val="00596CFA"/>
    <w:rsid w:val="005975CE"/>
    <w:rsid w:val="00597D1C"/>
    <w:rsid w:val="005A0088"/>
    <w:rsid w:val="005A04F6"/>
    <w:rsid w:val="005A14F0"/>
    <w:rsid w:val="005A1861"/>
    <w:rsid w:val="005A1A31"/>
    <w:rsid w:val="005A361D"/>
    <w:rsid w:val="005A36C2"/>
    <w:rsid w:val="005A3719"/>
    <w:rsid w:val="005A3DD7"/>
    <w:rsid w:val="005A4C20"/>
    <w:rsid w:val="005A4F48"/>
    <w:rsid w:val="005A52F7"/>
    <w:rsid w:val="005A54F1"/>
    <w:rsid w:val="005A5B2A"/>
    <w:rsid w:val="005A5DDE"/>
    <w:rsid w:val="005A64A8"/>
    <w:rsid w:val="005A65C5"/>
    <w:rsid w:val="005A6875"/>
    <w:rsid w:val="005A69D3"/>
    <w:rsid w:val="005A7A32"/>
    <w:rsid w:val="005A7F85"/>
    <w:rsid w:val="005B00DD"/>
    <w:rsid w:val="005B07D5"/>
    <w:rsid w:val="005B1AAB"/>
    <w:rsid w:val="005B2930"/>
    <w:rsid w:val="005B2B87"/>
    <w:rsid w:val="005B33C8"/>
    <w:rsid w:val="005B387B"/>
    <w:rsid w:val="005B3B01"/>
    <w:rsid w:val="005B4333"/>
    <w:rsid w:val="005B48BE"/>
    <w:rsid w:val="005B570E"/>
    <w:rsid w:val="005B58F7"/>
    <w:rsid w:val="005B5994"/>
    <w:rsid w:val="005B6474"/>
    <w:rsid w:val="005B666D"/>
    <w:rsid w:val="005B667A"/>
    <w:rsid w:val="005B6F98"/>
    <w:rsid w:val="005B78EA"/>
    <w:rsid w:val="005C039B"/>
    <w:rsid w:val="005C059F"/>
    <w:rsid w:val="005C07CE"/>
    <w:rsid w:val="005C0B8F"/>
    <w:rsid w:val="005C194E"/>
    <w:rsid w:val="005C1DB1"/>
    <w:rsid w:val="005C226F"/>
    <w:rsid w:val="005C2294"/>
    <w:rsid w:val="005C2E48"/>
    <w:rsid w:val="005C30F6"/>
    <w:rsid w:val="005C3344"/>
    <w:rsid w:val="005C3D20"/>
    <w:rsid w:val="005C4E4D"/>
    <w:rsid w:val="005C58F2"/>
    <w:rsid w:val="005C5A97"/>
    <w:rsid w:val="005C6D5D"/>
    <w:rsid w:val="005C6EC7"/>
    <w:rsid w:val="005C6FD0"/>
    <w:rsid w:val="005C706F"/>
    <w:rsid w:val="005D01C3"/>
    <w:rsid w:val="005D05FF"/>
    <w:rsid w:val="005D0FB4"/>
    <w:rsid w:val="005D1176"/>
    <w:rsid w:val="005D1747"/>
    <w:rsid w:val="005D266D"/>
    <w:rsid w:val="005D2697"/>
    <w:rsid w:val="005D306D"/>
    <w:rsid w:val="005D3327"/>
    <w:rsid w:val="005D4E8C"/>
    <w:rsid w:val="005D5BCF"/>
    <w:rsid w:val="005D6D84"/>
    <w:rsid w:val="005D70A1"/>
    <w:rsid w:val="005D79F2"/>
    <w:rsid w:val="005E0141"/>
    <w:rsid w:val="005E09CA"/>
    <w:rsid w:val="005E1AB4"/>
    <w:rsid w:val="005E4543"/>
    <w:rsid w:val="005E4A1C"/>
    <w:rsid w:val="005E56C9"/>
    <w:rsid w:val="005E5CF7"/>
    <w:rsid w:val="005E642A"/>
    <w:rsid w:val="005E721E"/>
    <w:rsid w:val="005F0857"/>
    <w:rsid w:val="005F101F"/>
    <w:rsid w:val="005F15A9"/>
    <w:rsid w:val="005F23A4"/>
    <w:rsid w:val="005F2890"/>
    <w:rsid w:val="005F2CD5"/>
    <w:rsid w:val="005F3720"/>
    <w:rsid w:val="005F4C6A"/>
    <w:rsid w:val="005F5506"/>
    <w:rsid w:val="005F56C8"/>
    <w:rsid w:val="005F5A0D"/>
    <w:rsid w:val="005F60DF"/>
    <w:rsid w:val="005F61DF"/>
    <w:rsid w:val="005F680A"/>
    <w:rsid w:val="005F77F8"/>
    <w:rsid w:val="005F7CA8"/>
    <w:rsid w:val="00601506"/>
    <w:rsid w:val="00601596"/>
    <w:rsid w:val="00601C92"/>
    <w:rsid w:val="00601F66"/>
    <w:rsid w:val="00602B29"/>
    <w:rsid w:val="00603373"/>
    <w:rsid w:val="006036D0"/>
    <w:rsid w:val="006042CD"/>
    <w:rsid w:val="00605217"/>
    <w:rsid w:val="006054A5"/>
    <w:rsid w:val="00605892"/>
    <w:rsid w:val="006059E4"/>
    <w:rsid w:val="006062A0"/>
    <w:rsid w:val="0061098D"/>
    <w:rsid w:val="00611B59"/>
    <w:rsid w:val="00611FBA"/>
    <w:rsid w:val="00612098"/>
    <w:rsid w:val="0061272A"/>
    <w:rsid w:val="00613AA2"/>
    <w:rsid w:val="006155F1"/>
    <w:rsid w:val="00615846"/>
    <w:rsid w:val="006160F0"/>
    <w:rsid w:val="0061624B"/>
    <w:rsid w:val="00616C1E"/>
    <w:rsid w:val="00617EFC"/>
    <w:rsid w:val="00620055"/>
    <w:rsid w:val="006204B3"/>
    <w:rsid w:val="006212D3"/>
    <w:rsid w:val="00622518"/>
    <w:rsid w:val="00623571"/>
    <w:rsid w:val="00623A5E"/>
    <w:rsid w:val="00625008"/>
    <w:rsid w:val="00626930"/>
    <w:rsid w:val="00626BAC"/>
    <w:rsid w:val="006271C3"/>
    <w:rsid w:val="00627B14"/>
    <w:rsid w:val="0063001E"/>
    <w:rsid w:val="00630023"/>
    <w:rsid w:val="00630C70"/>
    <w:rsid w:val="00630D67"/>
    <w:rsid w:val="00631005"/>
    <w:rsid w:val="00632727"/>
    <w:rsid w:val="00633769"/>
    <w:rsid w:val="00633FE3"/>
    <w:rsid w:val="00634570"/>
    <w:rsid w:val="0063487C"/>
    <w:rsid w:val="00635B73"/>
    <w:rsid w:val="00635BB7"/>
    <w:rsid w:val="00636CC7"/>
    <w:rsid w:val="00637F27"/>
    <w:rsid w:val="0064064C"/>
    <w:rsid w:val="00641A84"/>
    <w:rsid w:val="00641DA1"/>
    <w:rsid w:val="00641E5B"/>
    <w:rsid w:val="00643232"/>
    <w:rsid w:val="00643A9C"/>
    <w:rsid w:val="00643F89"/>
    <w:rsid w:val="00644875"/>
    <w:rsid w:val="00644BED"/>
    <w:rsid w:val="00644E2E"/>
    <w:rsid w:val="00645B87"/>
    <w:rsid w:val="00645CB4"/>
    <w:rsid w:val="00646084"/>
    <w:rsid w:val="00647664"/>
    <w:rsid w:val="00650D19"/>
    <w:rsid w:val="00650F23"/>
    <w:rsid w:val="00652CF5"/>
    <w:rsid w:val="0065343E"/>
    <w:rsid w:val="0065398F"/>
    <w:rsid w:val="00653C7C"/>
    <w:rsid w:val="00654252"/>
    <w:rsid w:val="006543B7"/>
    <w:rsid w:val="00654EA5"/>
    <w:rsid w:val="0065587E"/>
    <w:rsid w:val="006558CD"/>
    <w:rsid w:val="00655C26"/>
    <w:rsid w:val="0065637A"/>
    <w:rsid w:val="00656998"/>
    <w:rsid w:val="00656E4D"/>
    <w:rsid w:val="006576BA"/>
    <w:rsid w:val="00657DD9"/>
    <w:rsid w:val="00662D3D"/>
    <w:rsid w:val="00662F1F"/>
    <w:rsid w:val="00665030"/>
    <w:rsid w:val="00665670"/>
    <w:rsid w:val="006659EA"/>
    <w:rsid w:val="006661E8"/>
    <w:rsid w:val="00666424"/>
    <w:rsid w:val="006669D1"/>
    <w:rsid w:val="006673B9"/>
    <w:rsid w:val="0066790C"/>
    <w:rsid w:val="00670C57"/>
    <w:rsid w:val="00670C7C"/>
    <w:rsid w:val="00671480"/>
    <w:rsid w:val="006717E7"/>
    <w:rsid w:val="00671FD5"/>
    <w:rsid w:val="006720BC"/>
    <w:rsid w:val="00672C73"/>
    <w:rsid w:val="00673B64"/>
    <w:rsid w:val="00675430"/>
    <w:rsid w:val="006755F0"/>
    <w:rsid w:val="00675749"/>
    <w:rsid w:val="00677382"/>
    <w:rsid w:val="0067772D"/>
    <w:rsid w:val="00677AD2"/>
    <w:rsid w:val="00680714"/>
    <w:rsid w:val="0068071D"/>
    <w:rsid w:val="00680A57"/>
    <w:rsid w:val="00680C6B"/>
    <w:rsid w:val="006811F3"/>
    <w:rsid w:val="00681240"/>
    <w:rsid w:val="00683068"/>
    <w:rsid w:val="00683DAD"/>
    <w:rsid w:val="00684963"/>
    <w:rsid w:val="00685033"/>
    <w:rsid w:val="0068517F"/>
    <w:rsid w:val="00685D65"/>
    <w:rsid w:val="00685FC8"/>
    <w:rsid w:val="006869CD"/>
    <w:rsid w:val="00686E80"/>
    <w:rsid w:val="00687849"/>
    <w:rsid w:val="0068790B"/>
    <w:rsid w:val="00687AF2"/>
    <w:rsid w:val="006901AC"/>
    <w:rsid w:val="00690C8D"/>
    <w:rsid w:val="00691890"/>
    <w:rsid w:val="00691AAD"/>
    <w:rsid w:val="00692416"/>
    <w:rsid w:val="00692AFF"/>
    <w:rsid w:val="00693B73"/>
    <w:rsid w:val="006945A1"/>
    <w:rsid w:val="00694A53"/>
    <w:rsid w:val="00695C78"/>
    <w:rsid w:val="00695E6C"/>
    <w:rsid w:val="00695EAC"/>
    <w:rsid w:val="00697068"/>
    <w:rsid w:val="00697D5F"/>
    <w:rsid w:val="006A035B"/>
    <w:rsid w:val="006A0582"/>
    <w:rsid w:val="006A060C"/>
    <w:rsid w:val="006A071C"/>
    <w:rsid w:val="006A0DC7"/>
    <w:rsid w:val="006A150D"/>
    <w:rsid w:val="006A1B00"/>
    <w:rsid w:val="006A2766"/>
    <w:rsid w:val="006A39D0"/>
    <w:rsid w:val="006A4321"/>
    <w:rsid w:val="006A4E20"/>
    <w:rsid w:val="006A4F11"/>
    <w:rsid w:val="006A70DA"/>
    <w:rsid w:val="006B0580"/>
    <w:rsid w:val="006B0DA2"/>
    <w:rsid w:val="006B1486"/>
    <w:rsid w:val="006B1D06"/>
    <w:rsid w:val="006B2823"/>
    <w:rsid w:val="006B29DC"/>
    <w:rsid w:val="006B33DB"/>
    <w:rsid w:val="006B3669"/>
    <w:rsid w:val="006B36E5"/>
    <w:rsid w:val="006B3D00"/>
    <w:rsid w:val="006B4CF8"/>
    <w:rsid w:val="006B5FBC"/>
    <w:rsid w:val="006B6ED2"/>
    <w:rsid w:val="006C0230"/>
    <w:rsid w:val="006C0422"/>
    <w:rsid w:val="006C25AB"/>
    <w:rsid w:val="006C2DA6"/>
    <w:rsid w:val="006C3581"/>
    <w:rsid w:val="006C3EFE"/>
    <w:rsid w:val="006C46C7"/>
    <w:rsid w:val="006C53A4"/>
    <w:rsid w:val="006C54DF"/>
    <w:rsid w:val="006C5D5D"/>
    <w:rsid w:val="006C6303"/>
    <w:rsid w:val="006C6BD1"/>
    <w:rsid w:val="006C6EBD"/>
    <w:rsid w:val="006C7E04"/>
    <w:rsid w:val="006C7F79"/>
    <w:rsid w:val="006D015F"/>
    <w:rsid w:val="006D060E"/>
    <w:rsid w:val="006D0681"/>
    <w:rsid w:val="006D0A80"/>
    <w:rsid w:val="006D0AE8"/>
    <w:rsid w:val="006D2F72"/>
    <w:rsid w:val="006D43C1"/>
    <w:rsid w:val="006D5442"/>
    <w:rsid w:val="006D6E4E"/>
    <w:rsid w:val="006D7A8E"/>
    <w:rsid w:val="006E00E3"/>
    <w:rsid w:val="006E045C"/>
    <w:rsid w:val="006E065E"/>
    <w:rsid w:val="006E17AC"/>
    <w:rsid w:val="006E189B"/>
    <w:rsid w:val="006E2902"/>
    <w:rsid w:val="006E2F9D"/>
    <w:rsid w:val="006E37C6"/>
    <w:rsid w:val="006E3CF3"/>
    <w:rsid w:val="006E3ECF"/>
    <w:rsid w:val="006E41ED"/>
    <w:rsid w:val="006E4667"/>
    <w:rsid w:val="006E46B7"/>
    <w:rsid w:val="006E486D"/>
    <w:rsid w:val="006E48BB"/>
    <w:rsid w:val="006E58DD"/>
    <w:rsid w:val="006E7AAB"/>
    <w:rsid w:val="006F01FF"/>
    <w:rsid w:val="006F0CB2"/>
    <w:rsid w:val="006F1DE9"/>
    <w:rsid w:val="006F2046"/>
    <w:rsid w:val="006F2AEC"/>
    <w:rsid w:val="006F2F59"/>
    <w:rsid w:val="006F311E"/>
    <w:rsid w:val="006F3442"/>
    <w:rsid w:val="006F36A5"/>
    <w:rsid w:val="006F41F4"/>
    <w:rsid w:val="006F4576"/>
    <w:rsid w:val="006F5813"/>
    <w:rsid w:val="006F59A8"/>
    <w:rsid w:val="006F5A1D"/>
    <w:rsid w:val="006F71A6"/>
    <w:rsid w:val="006F7974"/>
    <w:rsid w:val="006F7C2C"/>
    <w:rsid w:val="00700405"/>
    <w:rsid w:val="007007D5"/>
    <w:rsid w:val="00700D18"/>
    <w:rsid w:val="0070168D"/>
    <w:rsid w:val="00701C36"/>
    <w:rsid w:val="00702F2D"/>
    <w:rsid w:val="0070353F"/>
    <w:rsid w:val="00703EE2"/>
    <w:rsid w:val="0070415E"/>
    <w:rsid w:val="00704E7D"/>
    <w:rsid w:val="0070502D"/>
    <w:rsid w:val="00705060"/>
    <w:rsid w:val="00705351"/>
    <w:rsid w:val="007062AF"/>
    <w:rsid w:val="007069AE"/>
    <w:rsid w:val="00706C89"/>
    <w:rsid w:val="00707967"/>
    <w:rsid w:val="00710257"/>
    <w:rsid w:val="00710587"/>
    <w:rsid w:val="007107D5"/>
    <w:rsid w:val="007119DC"/>
    <w:rsid w:val="00711CC7"/>
    <w:rsid w:val="0071230A"/>
    <w:rsid w:val="0071284A"/>
    <w:rsid w:val="0071294A"/>
    <w:rsid w:val="00712BDD"/>
    <w:rsid w:val="00712E1E"/>
    <w:rsid w:val="00712F37"/>
    <w:rsid w:val="00713A6B"/>
    <w:rsid w:val="0071499C"/>
    <w:rsid w:val="007154D8"/>
    <w:rsid w:val="00715577"/>
    <w:rsid w:val="0071604D"/>
    <w:rsid w:val="00716C67"/>
    <w:rsid w:val="0071779C"/>
    <w:rsid w:val="00717808"/>
    <w:rsid w:val="007206FD"/>
    <w:rsid w:val="007208A7"/>
    <w:rsid w:val="007210F6"/>
    <w:rsid w:val="0072129A"/>
    <w:rsid w:val="0072139F"/>
    <w:rsid w:val="0072198A"/>
    <w:rsid w:val="00721FC3"/>
    <w:rsid w:val="00722A86"/>
    <w:rsid w:val="00722BC6"/>
    <w:rsid w:val="00722C69"/>
    <w:rsid w:val="0072388C"/>
    <w:rsid w:val="0072465E"/>
    <w:rsid w:val="00724FE4"/>
    <w:rsid w:val="007263A2"/>
    <w:rsid w:val="007266B9"/>
    <w:rsid w:val="00727351"/>
    <w:rsid w:val="00727AC5"/>
    <w:rsid w:val="00727C65"/>
    <w:rsid w:val="007300F0"/>
    <w:rsid w:val="0073245C"/>
    <w:rsid w:val="00732493"/>
    <w:rsid w:val="00733772"/>
    <w:rsid w:val="00733A43"/>
    <w:rsid w:val="00733B93"/>
    <w:rsid w:val="00733D5F"/>
    <w:rsid w:val="00734932"/>
    <w:rsid w:val="00735D53"/>
    <w:rsid w:val="007364A3"/>
    <w:rsid w:val="007378FD"/>
    <w:rsid w:val="0074006A"/>
    <w:rsid w:val="007403FE"/>
    <w:rsid w:val="007413EB"/>
    <w:rsid w:val="00741711"/>
    <w:rsid w:val="00742A5B"/>
    <w:rsid w:val="00742D32"/>
    <w:rsid w:val="00742E9B"/>
    <w:rsid w:val="007444E6"/>
    <w:rsid w:val="0074592C"/>
    <w:rsid w:val="00746098"/>
    <w:rsid w:val="00746D58"/>
    <w:rsid w:val="00747578"/>
    <w:rsid w:val="00751073"/>
    <w:rsid w:val="00751AF2"/>
    <w:rsid w:val="00751BD2"/>
    <w:rsid w:val="00752188"/>
    <w:rsid w:val="00752CC6"/>
    <w:rsid w:val="00753938"/>
    <w:rsid w:val="007543CE"/>
    <w:rsid w:val="0075497E"/>
    <w:rsid w:val="00754A29"/>
    <w:rsid w:val="00755BCF"/>
    <w:rsid w:val="00756C5F"/>
    <w:rsid w:val="00756D69"/>
    <w:rsid w:val="00757029"/>
    <w:rsid w:val="0075723D"/>
    <w:rsid w:val="007602D4"/>
    <w:rsid w:val="0076085B"/>
    <w:rsid w:val="00760D96"/>
    <w:rsid w:val="0076124A"/>
    <w:rsid w:val="0076161B"/>
    <w:rsid w:val="00761CB5"/>
    <w:rsid w:val="0076216B"/>
    <w:rsid w:val="00763137"/>
    <w:rsid w:val="00763F8B"/>
    <w:rsid w:val="0076417E"/>
    <w:rsid w:val="007661CB"/>
    <w:rsid w:val="007662C7"/>
    <w:rsid w:val="00766862"/>
    <w:rsid w:val="007675DD"/>
    <w:rsid w:val="007702BF"/>
    <w:rsid w:val="0077058C"/>
    <w:rsid w:val="007705F0"/>
    <w:rsid w:val="00771CAC"/>
    <w:rsid w:val="00772036"/>
    <w:rsid w:val="007739A3"/>
    <w:rsid w:val="00773BD9"/>
    <w:rsid w:val="00773CB0"/>
    <w:rsid w:val="00773D71"/>
    <w:rsid w:val="00775526"/>
    <w:rsid w:val="0077765A"/>
    <w:rsid w:val="00777F0D"/>
    <w:rsid w:val="00780032"/>
    <w:rsid w:val="00780636"/>
    <w:rsid w:val="00780E86"/>
    <w:rsid w:val="00781727"/>
    <w:rsid w:val="00782CF3"/>
    <w:rsid w:val="00783959"/>
    <w:rsid w:val="00784A57"/>
    <w:rsid w:val="0078542A"/>
    <w:rsid w:val="00785753"/>
    <w:rsid w:val="007869F9"/>
    <w:rsid w:val="00786CBB"/>
    <w:rsid w:val="00786E21"/>
    <w:rsid w:val="0079038E"/>
    <w:rsid w:val="00790EBB"/>
    <w:rsid w:val="00791C6E"/>
    <w:rsid w:val="007921F7"/>
    <w:rsid w:val="00792909"/>
    <w:rsid w:val="00792BC6"/>
    <w:rsid w:val="00792C3F"/>
    <w:rsid w:val="00792EE2"/>
    <w:rsid w:val="00793105"/>
    <w:rsid w:val="007931E8"/>
    <w:rsid w:val="00793333"/>
    <w:rsid w:val="0079368D"/>
    <w:rsid w:val="00794E46"/>
    <w:rsid w:val="007952DE"/>
    <w:rsid w:val="00795479"/>
    <w:rsid w:val="00796292"/>
    <w:rsid w:val="007965D9"/>
    <w:rsid w:val="007972D5"/>
    <w:rsid w:val="007A0357"/>
    <w:rsid w:val="007A0789"/>
    <w:rsid w:val="007A130E"/>
    <w:rsid w:val="007A18B1"/>
    <w:rsid w:val="007A1BBD"/>
    <w:rsid w:val="007A1F08"/>
    <w:rsid w:val="007A25FA"/>
    <w:rsid w:val="007A3520"/>
    <w:rsid w:val="007A3604"/>
    <w:rsid w:val="007A3878"/>
    <w:rsid w:val="007A3D85"/>
    <w:rsid w:val="007A3E0D"/>
    <w:rsid w:val="007A436D"/>
    <w:rsid w:val="007A54F6"/>
    <w:rsid w:val="007A5950"/>
    <w:rsid w:val="007A6D91"/>
    <w:rsid w:val="007A7618"/>
    <w:rsid w:val="007B02C7"/>
    <w:rsid w:val="007B0306"/>
    <w:rsid w:val="007B08E4"/>
    <w:rsid w:val="007B0D86"/>
    <w:rsid w:val="007B28C3"/>
    <w:rsid w:val="007B3A8E"/>
    <w:rsid w:val="007B3C9B"/>
    <w:rsid w:val="007B4271"/>
    <w:rsid w:val="007B497D"/>
    <w:rsid w:val="007B4EE9"/>
    <w:rsid w:val="007B54C7"/>
    <w:rsid w:val="007B5DC5"/>
    <w:rsid w:val="007B5F32"/>
    <w:rsid w:val="007B63FC"/>
    <w:rsid w:val="007B6708"/>
    <w:rsid w:val="007B6E8D"/>
    <w:rsid w:val="007C029E"/>
    <w:rsid w:val="007C0636"/>
    <w:rsid w:val="007C10E4"/>
    <w:rsid w:val="007C17B4"/>
    <w:rsid w:val="007C21C5"/>
    <w:rsid w:val="007C2229"/>
    <w:rsid w:val="007C3590"/>
    <w:rsid w:val="007C36CB"/>
    <w:rsid w:val="007C387A"/>
    <w:rsid w:val="007C43D6"/>
    <w:rsid w:val="007C47FF"/>
    <w:rsid w:val="007C660F"/>
    <w:rsid w:val="007C6664"/>
    <w:rsid w:val="007C69AE"/>
    <w:rsid w:val="007C6FE9"/>
    <w:rsid w:val="007C728D"/>
    <w:rsid w:val="007C7688"/>
    <w:rsid w:val="007C76E3"/>
    <w:rsid w:val="007C7DD9"/>
    <w:rsid w:val="007D0DC9"/>
    <w:rsid w:val="007D0ECD"/>
    <w:rsid w:val="007D2882"/>
    <w:rsid w:val="007D2C31"/>
    <w:rsid w:val="007D3D74"/>
    <w:rsid w:val="007D445F"/>
    <w:rsid w:val="007D4DED"/>
    <w:rsid w:val="007D5BA2"/>
    <w:rsid w:val="007D5ED3"/>
    <w:rsid w:val="007D6490"/>
    <w:rsid w:val="007D682F"/>
    <w:rsid w:val="007D6FB9"/>
    <w:rsid w:val="007E0595"/>
    <w:rsid w:val="007E0A63"/>
    <w:rsid w:val="007E0C63"/>
    <w:rsid w:val="007E0E05"/>
    <w:rsid w:val="007E0F5D"/>
    <w:rsid w:val="007E1A6D"/>
    <w:rsid w:val="007E23A1"/>
    <w:rsid w:val="007E259F"/>
    <w:rsid w:val="007E3D80"/>
    <w:rsid w:val="007E451C"/>
    <w:rsid w:val="007E54B8"/>
    <w:rsid w:val="007E5D12"/>
    <w:rsid w:val="007E677F"/>
    <w:rsid w:val="007E6B25"/>
    <w:rsid w:val="007F152D"/>
    <w:rsid w:val="007F1FD3"/>
    <w:rsid w:val="007F20EE"/>
    <w:rsid w:val="007F2D37"/>
    <w:rsid w:val="007F30C6"/>
    <w:rsid w:val="007F4318"/>
    <w:rsid w:val="007F4709"/>
    <w:rsid w:val="007F47DA"/>
    <w:rsid w:val="007F4E52"/>
    <w:rsid w:val="007F4F84"/>
    <w:rsid w:val="007F55A4"/>
    <w:rsid w:val="007F6260"/>
    <w:rsid w:val="007F682B"/>
    <w:rsid w:val="007F78AB"/>
    <w:rsid w:val="00800509"/>
    <w:rsid w:val="00800B7F"/>
    <w:rsid w:val="0080348B"/>
    <w:rsid w:val="00803D82"/>
    <w:rsid w:val="00803D98"/>
    <w:rsid w:val="008052CE"/>
    <w:rsid w:val="008058D0"/>
    <w:rsid w:val="0080705B"/>
    <w:rsid w:val="0080723C"/>
    <w:rsid w:val="00807845"/>
    <w:rsid w:val="00807F71"/>
    <w:rsid w:val="0081000F"/>
    <w:rsid w:val="00812657"/>
    <w:rsid w:val="00812A1A"/>
    <w:rsid w:val="00812DFF"/>
    <w:rsid w:val="00813584"/>
    <w:rsid w:val="0081383A"/>
    <w:rsid w:val="00814B90"/>
    <w:rsid w:val="00814FC7"/>
    <w:rsid w:val="008156A3"/>
    <w:rsid w:val="00817195"/>
    <w:rsid w:val="00817416"/>
    <w:rsid w:val="00821271"/>
    <w:rsid w:val="00821306"/>
    <w:rsid w:val="008213D9"/>
    <w:rsid w:val="00821D85"/>
    <w:rsid w:val="008220BA"/>
    <w:rsid w:val="00822BED"/>
    <w:rsid w:val="00823819"/>
    <w:rsid w:val="00823C4B"/>
    <w:rsid w:val="0082427D"/>
    <w:rsid w:val="00825441"/>
    <w:rsid w:val="00825551"/>
    <w:rsid w:val="00826641"/>
    <w:rsid w:val="00830052"/>
    <w:rsid w:val="008300D0"/>
    <w:rsid w:val="008321CE"/>
    <w:rsid w:val="0083257C"/>
    <w:rsid w:val="0083261B"/>
    <w:rsid w:val="00832B44"/>
    <w:rsid w:val="00832EC9"/>
    <w:rsid w:val="00833307"/>
    <w:rsid w:val="00833583"/>
    <w:rsid w:val="00833B5B"/>
    <w:rsid w:val="00833E9A"/>
    <w:rsid w:val="00834FEF"/>
    <w:rsid w:val="00836323"/>
    <w:rsid w:val="00837E9B"/>
    <w:rsid w:val="008404AA"/>
    <w:rsid w:val="008406D7"/>
    <w:rsid w:val="0084074F"/>
    <w:rsid w:val="008407BA"/>
    <w:rsid w:val="00840926"/>
    <w:rsid w:val="00840AAC"/>
    <w:rsid w:val="0084181B"/>
    <w:rsid w:val="00841F13"/>
    <w:rsid w:val="00841F29"/>
    <w:rsid w:val="008425CC"/>
    <w:rsid w:val="00844461"/>
    <w:rsid w:val="008465B4"/>
    <w:rsid w:val="00846D25"/>
    <w:rsid w:val="00847356"/>
    <w:rsid w:val="00850013"/>
    <w:rsid w:val="008500DD"/>
    <w:rsid w:val="00851E96"/>
    <w:rsid w:val="00852FA5"/>
    <w:rsid w:val="008539BD"/>
    <w:rsid w:val="00853F7D"/>
    <w:rsid w:val="0085517F"/>
    <w:rsid w:val="0085562D"/>
    <w:rsid w:val="00855A78"/>
    <w:rsid w:val="00856154"/>
    <w:rsid w:val="00856286"/>
    <w:rsid w:val="0085657E"/>
    <w:rsid w:val="008576B0"/>
    <w:rsid w:val="00860296"/>
    <w:rsid w:val="00860DA4"/>
    <w:rsid w:val="00861948"/>
    <w:rsid w:val="00862011"/>
    <w:rsid w:val="00862A15"/>
    <w:rsid w:val="00862CC9"/>
    <w:rsid w:val="00862D8E"/>
    <w:rsid w:val="00862EF2"/>
    <w:rsid w:val="00865C3D"/>
    <w:rsid w:val="00866453"/>
    <w:rsid w:val="0086707F"/>
    <w:rsid w:val="00867501"/>
    <w:rsid w:val="00867D8E"/>
    <w:rsid w:val="008700C0"/>
    <w:rsid w:val="0087099A"/>
    <w:rsid w:val="00870D79"/>
    <w:rsid w:val="00871333"/>
    <w:rsid w:val="00872386"/>
    <w:rsid w:val="008726D7"/>
    <w:rsid w:val="00873128"/>
    <w:rsid w:val="008735BC"/>
    <w:rsid w:val="00873AAC"/>
    <w:rsid w:val="00873C61"/>
    <w:rsid w:val="00873DFD"/>
    <w:rsid w:val="008749BF"/>
    <w:rsid w:val="00875542"/>
    <w:rsid w:val="00875E14"/>
    <w:rsid w:val="0087677E"/>
    <w:rsid w:val="0087712C"/>
    <w:rsid w:val="00877C5D"/>
    <w:rsid w:val="0088093C"/>
    <w:rsid w:val="00880BC0"/>
    <w:rsid w:val="00881D59"/>
    <w:rsid w:val="00881DFD"/>
    <w:rsid w:val="00884371"/>
    <w:rsid w:val="00884B7A"/>
    <w:rsid w:val="00884D47"/>
    <w:rsid w:val="00885A74"/>
    <w:rsid w:val="00887392"/>
    <w:rsid w:val="00890C40"/>
    <w:rsid w:val="008912A7"/>
    <w:rsid w:val="0089183A"/>
    <w:rsid w:val="008920B4"/>
    <w:rsid w:val="008925EB"/>
    <w:rsid w:val="00893432"/>
    <w:rsid w:val="00893936"/>
    <w:rsid w:val="00893CE2"/>
    <w:rsid w:val="00893F41"/>
    <w:rsid w:val="00895144"/>
    <w:rsid w:val="0089658C"/>
    <w:rsid w:val="008972B6"/>
    <w:rsid w:val="00897339"/>
    <w:rsid w:val="00897697"/>
    <w:rsid w:val="008977E1"/>
    <w:rsid w:val="008A0044"/>
    <w:rsid w:val="008A0BFE"/>
    <w:rsid w:val="008A0E06"/>
    <w:rsid w:val="008A1932"/>
    <w:rsid w:val="008A21D9"/>
    <w:rsid w:val="008A275E"/>
    <w:rsid w:val="008A3182"/>
    <w:rsid w:val="008A3D54"/>
    <w:rsid w:val="008A411C"/>
    <w:rsid w:val="008A47CE"/>
    <w:rsid w:val="008A4C81"/>
    <w:rsid w:val="008A5F2F"/>
    <w:rsid w:val="008A6BAE"/>
    <w:rsid w:val="008A6E79"/>
    <w:rsid w:val="008A7350"/>
    <w:rsid w:val="008A79C9"/>
    <w:rsid w:val="008A7A72"/>
    <w:rsid w:val="008B09F3"/>
    <w:rsid w:val="008B16E6"/>
    <w:rsid w:val="008B1AB2"/>
    <w:rsid w:val="008B1D9B"/>
    <w:rsid w:val="008B2042"/>
    <w:rsid w:val="008B25F1"/>
    <w:rsid w:val="008B31FA"/>
    <w:rsid w:val="008B3567"/>
    <w:rsid w:val="008B36D0"/>
    <w:rsid w:val="008B38AF"/>
    <w:rsid w:val="008B3E1B"/>
    <w:rsid w:val="008B3E5E"/>
    <w:rsid w:val="008B3F4B"/>
    <w:rsid w:val="008B48EC"/>
    <w:rsid w:val="008B518E"/>
    <w:rsid w:val="008B66BB"/>
    <w:rsid w:val="008B69B8"/>
    <w:rsid w:val="008B7042"/>
    <w:rsid w:val="008C094A"/>
    <w:rsid w:val="008C1570"/>
    <w:rsid w:val="008C1E3E"/>
    <w:rsid w:val="008C2059"/>
    <w:rsid w:val="008C2492"/>
    <w:rsid w:val="008C2DBC"/>
    <w:rsid w:val="008C65F4"/>
    <w:rsid w:val="008C6683"/>
    <w:rsid w:val="008C7273"/>
    <w:rsid w:val="008D0E65"/>
    <w:rsid w:val="008D110A"/>
    <w:rsid w:val="008D1612"/>
    <w:rsid w:val="008D2259"/>
    <w:rsid w:val="008D313A"/>
    <w:rsid w:val="008D3381"/>
    <w:rsid w:val="008D33FE"/>
    <w:rsid w:val="008D3B9F"/>
    <w:rsid w:val="008D3CB8"/>
    <w:rsid w:val="008D3D02"/>
    <w:rsid w:val="008D4226"/>
    <w:rsid w:val="008D54C0"/>
    <w:rsid w:val="008D5ED9"/>
    <w:rsid w:val="008D7567"/>
    <w:rsid w:val="008E0EE4"/>
    <w:rsid w:val="008E136A"/>
    <w:rsid w:val="008E1C24"/>
    <w:rsid w:val="008E2626"/>
    <w:rsid w:val="008E27A9"/>
    <w:rsid w:val="008E323C"/>
    <w:rsid w:val="008E35A6"/>
    <w:rsid w:val="008E36D9"/>
    <w:rsid w:val="008E3A5C"/>
    <w:rsid w:val="008E3A9A"/>
    <w:rsid w:val="008E429E"/>
    <w:rsid w:val="008E5419"/>
    <w:rsid w:val="008E5938"/>
    <w:rsid w:val="008F1C40"/>
    <w:rsid w:val="008F1E3D"/>
    <w:rsid w:val="008F2F11"/>
    <w:rsid w:val="008F33A6"/>
    <w:rsid w:val="008F35EC"/>
    <w:rsid w:val="008F4FE8"/>
    <w:rsid w:val="008F4FED"/>
    <w:rsid w:val="008F6200"/>
    <w:rsid w:val="008F62F8"/>
    <w:rsid w:val="008F6893"/>
    <w:rsid w:val="008F7292"/>
    <w:rsid w:val="009000F2"/>
    <w:rsid w:val="0090079D"/>
    <w:rsid w:val="0090086A"/>
    <w:rsid w:val="00900A0F"/>
    <w:rsid w:val="00900D2C"/>
    <w:rsid w:val="00900F6C"/>
    <w:rsid w:val="00901807"/>
    <w:rsid w:val="00901F0E"/>
    <w:rsid w:val="00903C83"/>
    <w:rsid w:val="0090408F"/>
    <w:rsid w:val="0090446A"/>
    <w:rsid w:val="00904DC3"/>
    <w:rsid w:val="00905469"/>
    <w:rsid w:val="0090629C"/>
    <w:rsid w:val="009064EA"/>
    <w:rsid w:val="00906EA2"/>
    <w:rsid w:val="00907278"/>
    <w:rsid w:val="0091112B"/>
    <w:rsid w:val="009128B8"/>
    <w:rsid w:val="0091472C"/>
    <w:rsid w:val="00915351"/>
    <w:rsid w:val="00915679"/>
    <w:rsid w:val="009159C2"/>
    <w:rsid w:val="0091774C"/>
    <w:rsid w:val="0092077A"/>
    <w:rsid w:val="009219F3"/>
    <w:rsid w:val="009221CB"/>
    <w:rsid w:val="00922320"/>
    <w:rsid w:val="009228C3"/>
    <w:rsid w:val="00923643"/>
    <w:rsid w:val="00923E1A"/>
    <w:rsid w:val="0092490A"/>
    <w:rsid w:val="00925A3E"/>
    <w:rsid w:val="009261DB"/>
    <w:rsid w:val="00926939"/>
    <w:rsid w:val="00926F4C"/>
    <w:rsid w:val="00927710"/>
    <w:rsid w:val="009307CA"/>
    <w:rsid w:val="009312F9"/>
    <w:rsid w:val="00931445"/>
    <w:rsid w:val="00931AB8"/>
    <w:rsid w:val="00931C63"/>
    <w:rsid w:val="00931D10"/>
    <w:rsid w:val="0093218A"/>
    <w:rsid w:val="0093386D"/>
    <w:rsid w:val="009341FA"/>
    <w:rsid w:val="00934C59"/>
    <w:rsid w:val="00934C8E"/>
    <w:rsid w:val="00935194"/>
    <w:rsid w:val="00936EA5"/>
    <w:rsid w:val="00937114"/>
    <w:rsid w:val="0094015D"/>
    <w:rsid w:val="00941B13"/>
    <w:rsid w:val="0094215C"/>
    <w:rsid w:val="009441DB"/>
    <w:rsid w:val="00944834"/>
    <w:rsid w:val="00946128"/>
    <w:rsid w:val="0094633F"/>
    <w:rsid w:val="009478D4"/>
    <w:rsid w:val="00947BA5"/>
    <w:rsid w:val="00950805"/>
    <w:rsid w:val="009517E4"/>
    <w:rsid w:val="009518D4"/>
    <w:rsid w:val="009520BC"/>
    <w:rsid w:val="009521D2"/>
    <w:rsid w:val="00952403"/>
    <w:rsid w:val="00952BD8"/>
    <w:rsid w:val="00953573"/>
    <w:rsid w:val="00956647"/>
    <w:rsid w:val="00957409"/>
    <w:rsid w:val="00957499"/>
    <w:rsid w:val="00957ED2"/>
    <w:rsid w:val="00960DE4"/>
    <w:rsid w:val="00961164"/>
    <w:rsid w:val="00961A4F"/>
    <w:rsid w:val="00962CD6"/>
    <w:rsid w:val="00962FB8"/>
    <w:rsid w:val="0096373F"/>
    <w:rsid w:val="00964007"/>
    <w:rsid w:val="009643F4"/>
    <w:rsid w:val="00964F5A"/>
    <w:rsid w:val="009653ED"/>
    <w:rsid w:val="009665AA"/>
    <w:rsid w:val="00966AD2"/>
    <w:rsid w:val="009716D8"/>
    <w:rsid w:val="00971F54"/>
    <w:rsid w:val="00972057"/>
    <w:rsid w:val="0097227B"/>
    <w:rsid w:val="0097262E"/>
    <w:rsid w:val="0097277C"/>
    <w:rsid w:val="0097293F"/>
    <w:rsid w:val="00974022"/>
    <w:rsid w:val="0097552A"/>
    <w:rsid w:val="0097564A"/>
    <w:rsid w:val="00976BBE"/>
    <w:rsid w:val="0097783E"/>
    <w:rsid w:val="0098055B"/>
    <w:rsid w:val="009810BE"/>
    <w:rsid w:val="009817BC"/>
    <w:rsid w:val="009819A7"/>
    <w:rsid w:val="0098213E"/>
    <w:rsid w:val="0098220A"/>
    <w:rsid w:val="00982CB7"/>
    <w:rsid w:val="00983337"/>
    <w:rsid w:val="0098482D"/>
    <w:rsid w:val="00984C71"/>
    <w:rsid w:val="009850BC"/>
    <w:rsid w:val="009851F5"/>
    <w:rsid w:val="0098534B"/>
    <w:rsid w:val="009868A7"/>
    <w:rsid w:val="0098764E"/>
    <w:rsid w:val="00987826"/>
    <w:rsid w:val="00987B4F"/>
    <w:rsid w:val="00987D58"/>
    <w:rsid w:val="009906D4"/>
    <w:rsid w:val="00990EB7"/>
    <w:rsid w:val="00990F5F"/>
    <w:rsid w:val="009911A7"/>
    <w:rsid w:val="009913B8"/>
    <w:rsid w:val="009914E4"/>
    <w:rsid w:val="00992141"/>
    <w:rsid w:val="00993135"/>
    <w:rsid w:val="00993958"/>
    <w:rsid w:val="00993AC7"/>
    <w:rsid w:val="00993BAD"/>
    <w:rsid w:val="00993E49"/>
    <w:rsid w:val="009942F5"/>
    <w:rsid w:val="009944EA"/>
    <w:rsid w:val="0099520B"/>
    <w:rsid w:val="00995420"/>
    <w:rsid w:val="00995B01"/>
    <w:rsid w:val="00996458"/>
    <w:rsid w:val="00996EF4"/>
    <w:rsid w:val="00997044"/>
    <w:rsid w:val="009975A0"/>
    <w:rsid w:val="00997BC9"/>
    <w:rsid w:val="009A113D"/>
    <w:rsid w:val="009A1C20"/>
    <w:rsid w:val="009A2BE9"/>
    <w:rsid w:val="009A2BF3"/>
    <w:rsid w:val="009A3597"/>
    <w:rsid w:val="009A3C3E"/>
    <w:rsid w:val="009A4C2C"/>
    <w:rsid w:val="009A59B3"/>
    <w:rsid w:val="009A5FAE"/>
    <w:rsid w:val="009A7E7C"/>
    <w:rsid w:val="009B05D2"/>
    <w:rsid w:val="009B152B"/>
    <w:rsid w:val="009B2731"/>
    <w:rsid w:val="009B2BB8"/>
    <w:rsid w:val="009B2DCF"/>
    <w:rsid w:val="009B3D38"/>
    <w:rsid w:val="009B4368"/>
    <w:rsid w:val="009B70C4"/>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48A"/>
    <w:rsid w:val="009D022B"/>
    <w:rsid w:val="009D03B7"/>
    <w:rsid w:val="009D07AD"/>
    <w:rsid w:val="009D0824"/>
    <w:rsid w:val="009D0888"/>
    <w:rsid w:val="009D1654"/>
    <w:rsid w:val="009D1BDB"/>
    <w:rsid w:val="009D2F9C"/>
    <w:rsid w:val="009D4207"/>
    <w:rsid w:val="009D4E4A"/>
    <w:rsid w:val="009D5130"/>
    <w:rsid w:val="009D53D1"/>
    <w:rsid w:val="009D53FB"/>
    <w:rsid w:val="009D6081"/>
    <w:rsid w:val="009D678C"/>
    <w:rsid w:val="009D6B9A"/>
    <w:rsid w:val="009D76B5"/>
    <w:rsid w:val="009D7BC7"/>
    <w:rsid w:val="009D7FAC"/>
    <w:rsid w:val="009E0109"/>
    <w:rsid w:val="009E0342"/>
    <w:rsid w:val="009E098B"/>
    <w:rsid w:val="009E09A9"/>
    <w:rsid w:val="009E09AB"/>
    <w:rsid w:val="009E19BB"/>
    <w:rsid w:val="009E1C47"/>
    <w:rsid w:val="009E38D1"/>
    <w:rsid w:val="009E3DF1"/>
    <w:rsid w:val="009E514A"/>
    <w:rsid w:val="009E5177"/>
    <w:rsid w:val="009E5701"/>
    <w:rsid w:val="009E5711"/>
    <w:rsid w:val="009E758E"/>
    <w:rsid w:val="009E7D6B"/>
    <w:rsid w:val="009E7E81"/>
    <w:rsid w:val="009F020A"/>
    <w:rsid w:val="009F05AD"/>
    <w:rsid w:val="009F1109"/>
    <w:rsid w:val="009F143E"/>
    <w:rsid w:val="009F1DE8"/>
    <w:rsid w:val="009F2186"/>
    <w:rsid w:val="009F28DC"/>
    <w:rsid w:val="009F2EDB"/>
    <w:rsid w:val="009F33DC"/>
    <w:rsid w:val="009F4550"/>
    <w:rsid w:val="009F49B4"/>
    <w:rsid w:val="009F56C0"/>
    <w:rsid w:val="009F5C76"/>
    <w:rsid w:val="00A007B4"/>
    <w:rsid w:val="00A00CA0"/>
    <w:rsid w:val="00A00E00"/>
    <w:rsid w:val="00A01221"/>
    <w:rsid w:val="00A012A8"/>
    <w:rsid w:val="00A016FF"/>
    <w:rsid w:val="00A0207F"/>
    <w:rsid w:val="00A021AF"/>
    <w:rsid w:val="00A044AA"/>
    <w:rsid w:val="00A0606C"/>
    <w:rsid w:val="00A102F8"/>
    <w:rsid w:val="00A10A20"/>
    <w:rsid w:val="00A117D5"/>
    <w:rsid w:val="00A131F5"/>
    <w:rsid w:val="00A133C1"/>
    <w:rsid w:val="00A13414"/>
    <w:rsid w:val="00A13F2D"/>
    <w:rsid w:val="00A14F81"/>
    <w:rsid w:val="00A1535F"/>
    <w:rsid w:val="00A15CB1"/>
    <w:rsid w:val="00A15DCC"/>
    <w:rsid w:val="00A15E84"/>
    <w:rsid w:val="00A16021"/>
    <w:rsid w:val="00A16DEA"/>
    <w:rsid w:val="00A176DD"/>
    <w:rsid w:val="00A2277E"/>
    <w:rsid w:val="00A22C3E"/>
    <w:rsid w:val="00A22C4D"/>
    <w:rsid w:val="00A2310B"/>
    <w:rsid w:val="00A23442"/>
    <w:rsid w:val="00A249D2"/>
    <w:rsid w:val="00A254AB"/>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7309"/>
    <w:rsid w:val="00A37558"/>
    <w:rsid w:val="00A3786A"/>
    <w:rsid w:val="00A4008C"/>
    <w:rsid w:val="00A402A8"/>
    <w:rsid w:val="00A40685"/>
    <w:rsid w:val="00A40E2F"/>
    <w:rsid w:val="00A41819"/>
    <w:rsid w:val="00A41C9A"/>
    <w:rsid w:val="00A41D73"/>
    <w:rsid w:val="00A4269E"/>
    <w:rsid w:val="00A433E8"/>
    <w:rsid w:val="00A43A1D"/>
    <w:rsid w:val="00A44854"/>
    <w:rsid w:val="00A4497C"/>
    <w:rsid w:val="00A44A45"/>
    <w:rsid w:val="00A46859"/>
    <w:rsid w:val="00A46D39"/>
    <w:rsid w:val="00A472B8"/>
    <w:rsid w:val="00A5004A"/>
    <w:rsid w:val="00A502F5"/>
    <w:rsid w:val="00A504F4"/>
    <w:rsid w:val="00A508AA"/>
    <w:rsid w:val="00A51134"/>
    <w:rsid w:val="00A526CE"/>
    <w:rsid w:val="00A52B43"/>
    <w:rsid w:val="00A54909"/>
    <w:rsid w:val="00A54DC0"/>
    <w:rsid w:val="00A550C9"/>
    <w:rsid w:val="00A55228"/>
    <w:rsid w:val="00A55A04"/>
    <w:rsid w:val="00A55B31"/>
    <w:rsid w:val="00A564DE"/>
    <w:rsid w:val="00A5787A"/>
    <w:rsid w:val="00A6054E"/>
    <w:rsid w:val="00A60679"/>
    <w:rsid w:val="00A60799"/>
    <w:rsid w:val="00A61B7F"/>
    <w:rsid w:val="00A61B91"/>
    <w:rsid w:val="00A63335"/>
    <w:rsid w:val="00A63685"/>
    <w:rsid w:val="00A645AC"/>
    <w:rsid w:val="00A65EFB"/>
    <w:rsid w:val="00A6634C"/>
    <w:rsid w:val="00A66E28"/>
    <w:rsid w:val="00A67CE9"/>
    <w:rsid w:val="00A70590"/>
    <w:rsid w:val="00A7062E"/>
    <w:rsid w:val="00A70834"/>
    <w:rsid w:val="00A714BB"/>
    <w:rsid w:val="00A71542"/>
    <w:rsid w:val="00A71FA0"/>
    <w:rsid w:val="00A72727"/>
    <w:rsid w:val="00A72C1A"/>
    <w:rsid w:val="00A7463E"/>
    <w:rsid w:val="00A758E2"/>
    <w:rsid w:val="00A765B1"/>
    <w:rsid w:val="00A772F2"/>
    <w:rsid w:val="00A77828"/>
    <w:rsid w:val="00A800F9"/>
    <w:rsid w:val="00A8073D"/>
    <w:rsid w:val="00A80D02"/>
    <w:rsid w:val="00A81735"/>
    <w:rsid w:val="00A819C3"/>
    <w:rsid w:val="00A8220E"/>
    <w:rsid w:val="00A82D32"/>
    <w:rsid w:val="00A82EAE"/>
    <w:rsid w:val="00A84612"/>
    <w:rsid w:val="00A847F9"/>
    <w:rsid w:val="00A84F27"/>
    <w:rsid w:val="00A8519C"/>
    <w:rsid w:val="00A85F83"/>
    <w:rsid w:val="00A86019"/>
    <w:rsid w:val="00A86EED"/>
    <w:rsid w:val="00A8733A"/>
    <w:rsid w:val="00A9196B"/>
    <w:rsid w:val="00A91BEE"/>
    <w:rsid w:val="00A91D4B"/>
    <w:rsid w:val="00A920B2"/>
    <w:rsid w:val="00A92A96"/>
    <w:rsid w:val="00A92AF0"/>
    <w:rsid w:val="00A933FE"/>
    <w:rsid w:val="00A937D5"/>
    <w:rsid w:val="00A93C70"/>
    <w:rsid w:val="00A9402E"/>
    <w:rsid w:val="00A94A32"/>
    <w:rsid w:val="00A94AFC"/>
    <w:rsid w:val="00A94FEB"/>
    <w:rsid w:val="00A9508F"/>
    <w:rsid w:val="00A95567"/>
    <w:rsid w:val="00A95CB7"/>
    <w:rsid w:val="00A96B4A"/>
    <w:rsid w:val="00A97BDA"/>
    <w:rsid w:val="00AA0779"/>
    <w:rsid w:val="00AA08F3"/>
    <w:rsid w:val="00AA0A7E"/>
    <w:rsid w:val="00AA0F23"/>
    <w:rsid w:val="00AA1163"/>
    <w:rsid w:val="00AA1DA8"/>
    <w:rsid w:val="00AA222C"/>
    <w:rsid w:val="00AA238E"/>
    <w:rsid w:val="00AA253B"/>
    <w:rsid w:val="00AA29F8"/>
    <w:rsid w:val="00AA3243"/>
    <w:rsid w:val="00AA388F"/>
    <w:rsid w:val="00AA408E"/>
    <w:rsid w:val="00AA4F6D"/>
    <w:rsid w:val="00AA536B"/>
    <w:rsid w:val="00AA5A5C"/>
    <w:rsid w:val="00AA5A6F"/>
    <w:rsid w:val="00AA6F6C"/>
    <w:rsid w:val="00AA7519"/>
    <w:rsid w:val="00AA790A"/>
    <w:rsid w:val="00AB02EA"/>
    <w:rsid w:val="00AB110C"/>
    <w:rsid w:val="00AB1336"/>
    <w:rsid w:val="00AB227A"/>
    <w:rsid w:val="00AB22BF"/>
    <w:rsid w:val="00AB256E"/>
    <w:rsid w:val="00AB3466"/>
    <w:rsid w:val="00AB3BBB"/>
    <w:rsid w:val="00AB408C"/>
    <w:rsid w:val="00AB4E41"/>
    <w:rsid w:val="00AB5EB1"/>
    <w:rsid w:val="00AB6003"/>
    <w:rsid w:val="00AB759A"/>
    <w:rsid w:val="00AB76B8"/>
    <w:rsid w:val="00AB7B06"/>
    <w:rsid w:val="00AB7EAA"/>
    <w:rsid w:val="00AC0090"/>
    <w:rsid w:val="00AC0432"/>
    <w:rsid w:val="00AC0770"/>
    <w:rsid w:val="00AC1683"/>
    <w:rsid w:val="00AC1D82"/>
    <w:rsid w:val="00AC29D4"/>
    <w:rsid w:val="00AC4094"/>
    <w:rsid w:val="00AC42B6"/>
    <w:rsid w:val="00AC4AB7"/>
    <w:rsid w:val="00AC6D24"/>
    <w:rsid w:val="00AC6E18"/>
    <w:rsid w:val="00AD1065"/>
    <w:rsid w:val="00AD3132"/>
    <w:rsid w:val="00AD3DA6"/>
    <w:rsid w:val="00AD3F3C"/>
    <w:rsid w:val="00AD4796"/>
    <w:rsid w:val="00AD4B2F"/>
    <w:rsid w:val="00AD5F0A"/>
    <w:rsid w:val="00AD65C0"/>
    <w:rsid w:val="00AD6B4F"/>
    <w:rsid w:val="00AD7812"/>
    <w:rsid w:val="00AD7C42"/>
    <w:rsid w:val="00AD7CFA"/>
    <w:rsid w:val="00AE03E3"/>
    <w:rsid w:val="00AE0B1B"/>
    <w:rsid w:val="00AE0BD6"/>
    <w:rsid w:val="00AE11C1"/>
    <w:rsid w:val="00AE163D"/>
    <w:rsid w:val="00AE1C5C"/>
    <w:rsid w:val="00AE315E"/>
    <w:rsid w:val="00AE319F"/>
    <w:rsid w:val="00AE31D9"/>
    <w:rsid w:val="00AE3CF0"/>
    <w:rsid w:val="00AE50F5"/>
    <w:rsid w:val="00AE71EE"/>
    <w:rsid w:val="00AF03CF"/>
    <w:rsid w:val="00AF0A0A"/>
    <w:rsid w:val="00AF14FC"/>
    <w:rsid w:val="00AF1781"/>
    <w:rsid w:val="00AF1ED2"/>
    <w:rsid w:val="00AF1F4E"/>
    <w:rsid w:val="00AF2302"/>
    <w:rsid w:val="00AF3557"/>
    <w:rsid w:val="00AF38FE"/>
    <w:rsid w:val="00AF3F86"/>
    <w:rsid w:val="00AF4CEE"/>
    <w:rsid w:val="00AF5655"/>
    <w:rsid w:val="00AF584C"/>
    <w:rsid w:val="00AF5D84"/>
    <w:rsid w:val="00AF669D"/>
    <w:rsid w:val="00AF672C"/>
    <w:rsid w:val="00AF7389"/>
    <w:rsid w:val="00AF79DF"/>
    <w:rsid w:val="00AF7B8F"/>
    <w:rsid w:val="00AF7C37"/>
    <w:rsid w:val="00B00378"/>
    <w:rsid w:val="00B00D91"/>
    <w:rsid w:val="00B00E84"/>
    <w:rsid w:val="00B038F1"/>
    <w:rsid w:val="00B03C1B"/>
    <w:rsid w:val="00B04678"/>
    <w:rsid w:val="00B04A04"/>
    <w:rsid w:val="00B04C37"/>
    <w:rsid w:val="00B04F00"/>
    <w:rsid w:val="00B05BA6"/>
    <w:rsid w:val="00B06619"/>
    <w:rsid w:val="00B066FE"/>
    <w:rsid w:val="00B06912"/>
    <w:rsid w:val="00B06FB4"/>
    <w:rsid w:val="00B07F74"/>
    <w:rsid w:val="00B10B04"/>
    <w:rsid w:val="00B10CC6"/>
    <w:rsid w:val="00B11485"/>
    <w:rsid w:val="00B11A61"/>
    <w:rsid w:val="00B12082"/>
    <w:rsid w:val="00B12648"/>
    <w:rsid w:val="00B13389"/>
    <w:rsid w:val="00B1364C"/>
    <w:rsid w:val="00B141A5"/>
    <w:rsid w:val="00B14F47"/>
    <w:rsid w:val="00B15097"/>
    <w:rsid w:val="00B15286"/>
    <w:rsid w:val="00B1550D"/>
    <w:rsid w:val="00B159F0"/>
    <w:rsid w:val="00B15F6C"/>
    <w:rsid w:val="00B163E8"/>
    <w:rsid w:val="00B1767E"/>
    <w:rsid w:val="00B20760"/>
    <w:rsid w:val="00B21676"/>
    <w:rsid w:val="00B21945"/>
    <w:rsid w:val="00B219E1"/>
    <w:rsid w:val="00B21ECF"/>
    <w:rsid w:val="00B22150"/>
    <w:rsid w:val="00B226DE"/>
    <w:rsid w:val="00B22FB5"/>
    <w:rsid w:val="00B241D5"/>
    <w:rsid w:val="00B24BE9"/>
    <w:rsid w:val="00B25F8C"/>
    <w:rsid w:val="00B260BE"/>
    <w:rsid w:val="00B26677"/>
    <w:rsid w:val="00B26A96"/>
    <w:rsid w:val="00B274E3"/>
    <w:rsid w:val="00B2765C"/>
    <w:rsid w:val="00B27C4B"/>
    <w:rsid w:val="00B30563"/>
    <w:rsid w:val="00B30A76"/>
    <w:rsid w:val="00B3175E"/>
    <w:rsid w:val="00B32257"/>
    <w:rsid w:val="00B32295"/>
    <w:rsid w:val="00B33AB5"/>
    <w:rsid w:val="00B3412E"/>
    <w:rsid w:val="00B34333"/>
    <w:rsid w:val="00B35B92"/>
    <w:rsid w:val="00B367C4"/>
    <w:rsid w:val="00B37B8E"/>
    <w:rsid w:val="00B40222"/>
    <w:rsid w:val="00B404C3"/>
    <w:rsid w:val="00B41856"/>
    <w:rsid w:val="00B41B87"/>
    <w:rsid w:val="00B41C78"/>
    <w:rsid w:val="00B42E85"/>
    <w:rsid w:val="00B4311F"/>
    <w:rsid w:val="00B431AE"/>
    <w:rsid w:val="00B448BF"/>
    <w:rsid w:val="00B45A59"/>
    <w:rsid w:val="00B45F9F"/>
    <w:rsid w:val="00B4627C"/>
    <w:rsid w:val="00B46793"/>
    <w:rsid w:val="00B46953"/>
    <w:rsid w:val="00B47448"/>
    <w:rsid w:val="00B47455"/>
    <w:rsid w:val="00B47979"/>
    <w:rsid w:val="00B47A59"/>
    <w:rsid w:val="00B503D6"/>
    <w:rsid w:val="00B51520"/>
    <w:rsid w:val="00B515C3"/>
    <w:rsid w:val="00B517C2"/>
    <w:rsid w:val="00B518CE"/>
    <w:rsid w:val="00B51F56"/>
    <w:rsid w:val="00B52234"/>
    <w:rsid w:val="00B52687"/>
    <w:rsid w:val="00B53623"/>
    <w:rsid w:val="00B53D1D"/>
    <w:rsid w:val="00B53E98"/>
    <w:rsid w:val="00B53F9B"/>
    <w:rsid w:val="00B55F64"/>
    <w:rsid w:val="00B56ECA"/>
    <w:rsid w:val="00B57093"/>
    <w:rsid w:val="00B60613"/>
    <w:rsid w:val="00B61AEC"/>
    <w:rsid w:val="00B62B7B"/>
    <w:rsid w:val="00B63EF6"/>
    <w:rsid w:val="00B6440A"/>
    <w:rsid w:val="00B65844"/>
    <w:rsid w:val="00B66054"/>
    <w:rsid w:val="00B6677F"/>
    <w:rsid w:val="00B66C7A"/>
    <w:rsid w:val="00B672EA"/>
    <w:rsid w:val="00B6747B"/>
    <w:rsid w:val="00B70200"/>
    <w:rsid w:val="00B702D7"/>
    <w:rsid w:val="00B70389"/>
    <w:rsid w:val="00B70E01"/>
    <w:rsid w:val="00B71F30"/>
    <w:rsid w:val="00B72CF0"/>
    <w:rsid w:val="00B7380E"/>
    <w:rsid w:val="00B740F6"/>
    <w:rsid w:val="00B74615"/>
    <w:rsid w:val="00B755B6"/>
    <w:rsid w:val="00B75A48"/>
    <w:rsid w:val="00B75CC0"/>
    <w:rsid w:val="00B76021"/>
    <w:rsid w:val="00B804F8"/>
    <w:rsid w:val="00B8095A"/>
    <w:rsid w:val="00B80B4E"/>
    <w:rsid w:val="00B81274"/>
    <w:rsid w:val="00B815D3"/>
    <w:rsid w:val="00B823A6"/>
    <w:rsid w:val="00B83A9C"/>
    <w:rsid w:val="00B83E76"/>
    <w:rsid w:val="00B83FA0"/>
    <w:rsid w:val="00B85902"/>
    <w:rsid w:val="00B86289"/>
    <w:rsid w:val="00B863B3"/>
    <w:rsid w:val="00B869D3"/>
    <w:rsid w:val="00B86CF8"/>
    <w:rsid w:val="00B86E44"/>
    <w:rsid w:val="00B87359"/>
    <w:rsid w:val="00B87F1C"/>
    <w:rsid w:val="00B90D8D"/>
    <w:rsid w:val="00B91263"/>
    <w:rsid w:val="00B91B61"/>
    <w:rsid w:val="00B93849"/>
    <w:rsid w:val="00B938BD"/>
    <w:rsid w:val="00B9407F"/>
    <w:rsid w:val="00B944E9"/>
    <w:rsid w:val="00B94896"/>
    <w:rsid w:val="00B94CDD"/>
    <w:rsid w:val="00B9591E"/>
    <w:rsid w:val="00B96DD9"/>
    <w:rsid w:val="00B97597"/>
    <w:rsid w:val="00BA14B2"/>
    <w:rsid w:val="00BA15DC"/>
    <w:rsid w:val="00BA257C"/>
    <w:rsid w:val="00BA2C82"/>
    <w:rsid w:val="00BA5039"/>
    <w:rsid w:val="00BA583B"/>
    <w:rsid w:val="00BA5EC7"/>
    <w:rsid w:val="00BA6319"/>
    <w:rsid w:val="00BA63CE"/>
    <w:rsid w:val="00BA676E"/>
    <w:rsid w:val="00BA6EF2"/>
    <w:rsid w:val="00BA7227"/>
    <w:rsid w:val="00BA763C"/>
    <w:rsid w:val="00BA7CD7"/>
    <w:rsid w:val="00BB00E5"/>
    <w:rsid w:val="00BB1EFB"/>
    <w:rsid w:val="00BB27CC"/>
    <w:rsid w:val="00BB2ACE"/>
    <w:rsid w:val="00BB2E4E"/>
    <w:rsid w:val="00BB2E62"/>
    <w:rsid w:val="00BB36C9"/>
    <w:rsid w:val="00BB5E2C"/>
    <w:rsid w:val="00BB7EC0"/>
    <w:rsid w:val="00BB7ECC"/>
    <w:rsid w:val="00BC0207"/>
    <w:rsid w:val="00BC03C9"/>
    <w:rsid w:val="00BC048A"/>
    <w:rsid w:val="00BC0A5A"/>
    <w:rsid w:val="00BC0E64"/>
    <w:rsid w:val="00BC25D1"/>
    <w:rsid w:val="00BC3BCB"/>
    <w:rsid w:val="00BC428A"/>
    <w:rsid w:val="00BC4C40"/>
    <w:rsid w:val="00BC5AE3"/>
    <w:rsid w:val="00BC5BAD"/>
    <w:rsid w:val="00BC74B6"/>
    <w:rsid w:val="00BC768B"/>
    <w:rsid w:val="00BC76C5"/>
    <w:rsid w:val="00BD138A"/>
    <w:rsid w:val="00BD164A"/>
    <w:rsid w:val="00BD1BDD"/>
    <w:rsid w:val="00BD1D7D"/>
    <w:rsid w:val="00BD2B4D"/>
    <w:rsid w:val="00BD2F08"/>
    <w:rsid w:val="00BD2FB9"/>
    <w:rsid w:val="00BD31C2"/>
    <w:rsid w:val="00BD3683"/>
    <w:rsid w:val="00BD450A"/>
    <w:rsid w:val="00BD4717"/>
    <w:rsid w:val="00BD48EA"/>
    <w:rsid w:val="00BD4BA8"/>
    <w:rsid w:val="00BD4C0A"/>
    <w:rsid w:val="00BD62E6"/>
    <w:rsid w:val="00BD6B0E"/>
    <w:rsid w:val="00BD7941"/>
    <w:rsid w:val="00BE0C55"/>
    <w:rsid w:val="00BE11A2"/>
    <w:rsid w:val="00BE246C"/>
    <w:rsid w:val="00BE2657"/>
    <w:rsid w:val="00BE36D3"/>
    <w:rsid w:val="00BE37AE"/>
    <w:rsid w:val="00BE3B14"/>
    <w:rsid w:val="00BE3C65"/>
    <w:rsid w:val="00BE472D"/>
    <w:rsid w:val="00BE7F4D"/>
    <w:rsid w:val="00BF03C0"/>
    <w:rsid w:val="00BF0A39"/>
    <w:rsid w:val="00BF0EBF"/>
    <w:rsid w:val="00BF1C64"/>
    <w:rsid w:val="00BF21D4"/>
    <w:rsid w:val="00BF2DDC"/>
    <w:rsid w:val="00BF4A15"/>
    <w:rsid w:val="00BF4E0E"/>
    <w:rsid w:val="00BF4E27"/>
    <w:rsid w:val="00BF537B"/>
    <w:rsid w:val="00BF626A"/>
    <w:rsid w:val="00BF6D77"/>
    <w:rsid w:val="00BF7B50"/>
    <w:rsid w:val="00BF7EF5"/>
    <w:rsid w:val="00C0378E"/>
    <w:rsid w:val="00C056A6"/>
    <w:rsid w:val="00C05730"/>
    <w:rsid w:val="00C05AF4"/>
    <w:rsid w:val="00C05AFD"/>
    <w:rsid w:val="00C0661C"/>
    <w:rsid w:val="00C0675F"/>
    <w:rsid w:val="00C06B3F"/>
    <w:rsid w:val="00C0702A"/>
    <w:rsid w:val="00C0724C"/>
    <w:rsid w:val="00C07C11"/>
    <w:rsid w:val="00C07E10"/>
    <w:rsid w:val="00C10015"/>
    <w:rsid w:val="00C12ECB"/>
    <w:rsid w:val="00C14ABD"/>
    <w:rsid w:val="00C151E0"/>
    <w:rsid w:val="00C15B31"/>
    <w:rsid w:val="00C1640A"/>
    <w:rsid w:val="00C166D4"/>
    <w:rsid w:val="00C168E5"/>
    <w:rsid w:val="00C1696D"/>
    <w:rsid w:val="00C16A46"/>
    <w:rsid w:val="00C17AB5"/>
    <w:rsid w:val="00C20051"/>
    <w:rsid w:val="00C20B86"/>
    <w:rsid w:val="00C21145"/>
    <w:rsid w:val="00C23615"/>
    <w:rsid w:val="00C2397E"/>
    <w:rsid w:val="00C23A83"/>
    <w:rsid w:val="00C24381"/>
    <w:rsid w:val="00C24801"/>
    <w:rsid w:val="00C249C6"/>
    <w:rsid w:val="00C24C2E"/>
    <w:rsid w:val="00C24C7A"/>
    <w:rsid w:val="00C24FFB"/>
    <w:rsid w:val="00C259DE"/>
    <w:rsid w:val="00C259E8"/>
    <w:rsid w:val="00C25CFF"/>
    <w:rsid w:val="00C25EA6"/>
    <w:rsid w:val="00C260C7"/>
    <w:rsid w:val="00C261C1"/>
    <w:rsid w:val="00C26DBF"/>
    <w:rsid w:val="00C30928"/>
    <w:rsid w:val="00C30B0B"/>
    <w:rsid w:val="00C316B4"/>
    <w:rsid w:val="00C31797"/>
    <w:rsid w:val="00C32EF9"/>
    <w:rsid w:val="00C332D4"/>
    <w:rsid w:val="00C33E51"/>
    <w:rsid w:val="00C34C45"/>
    <w:rsid w:val="00C34C47"/>
    <w:rsid w:val="00C35BA0"/>
    <w:rsid w:val="00C3701A"/>
    <w:rsid w:val="00C401DA"/>
    <w:rsid w:val="00C405C8"/>
    <w:rsid w:val="00C40C2F"/>
    <w:rsid w:val="00C415AC"/>
    <w:rsid w:val="00C41B7B"/>
    <w:rsid w:val="00C4297A"/>
    <w:rsid w:val="00C4360C"/>
    <w:rsid w:val="00C43A0B"/>
    <w:rsid w:val="00C43EDA"/>
    <w:rsid w:val="00C4414C"/>
    <w:rsid w:val="00C45512"/>
    <w:rsid w:val="00C458A3"/>
    <w:rsid w:val="00C4602B"/>
    <w:rsid w:val="00C460FD"/>
    <w:rsid w:val="00C46564"/>
    <w:rsid w:val="00C4747B"/>
    <w:rsid w:val="00C50A02"/>
    <w:rsid w:val="00C51149"/>
    <w:rsid w:val="00C5117E"/>
    <w:rsid w:val="00C512D1"/>
    <w:rsid w:val="00C51856"/>
    <w:rsid w:val="00C51B04"/>
    <w:rsid w:val="00C52557"/>
    <w:rsid w:val="00C53CE9"/>
    <w:rsid w:val="00C5531B"/>
    <w:rsid w:val="00C55375"/>
    <w:rsid w:val="00C55EDC"/>
    <w:rsid w:val="00C56C98"/>
    <w:rsid w:val="00C56DEE"/>
    <w:rsid w:val="00C57120"/>
    <w:rsid w:val="00C571D5"/>
    <w:rsid w:val="00C575D4"/>
    <w:rsid w:val="00C57F7F"/>
    <w:rsid w:val="00C61223"/>
    <w:rsid w:val="00C61246"/>
    <w:rsid w:val="00C618A8"/>
    <w:rsid w:val="00C61A78"/>
    <w:rsid w:val="00C62B88"/>
    <w:rsid w:val="00C634F9"/>
    <w:rsid w:val="00C643ED"/>
    <w:rsid w:val="00C64534"/>
    <w:rsid w:val="00C64D93"/>
    <w:rsid w:val="00C64F49"/>
    <w:rsid w:val="00C65200"/>
    <w:rsid w:val="00C65BD3"/>
    <w:rsid w:val="00C665DE"/>
    <w:rsid w:val="00C667C3"/>
    <w:rsid w:val="00C6728B"/>
    <w:rsid w:val="00C71528"/>
    <w:rsid w:val="00C71F09"/>
    <w:rsid w:val="00C72588"/>
    <w:rsid w:val="00C727B9"/>
    <w:rsid w:val="00C73670"/>
    <w:rsid w:val="00C737D1"/>
    <w:rsid w:val="00C73DE0"/>
    <w:rsid w:val="00C74609"/>
    <w:rsid w:val="00C749AB"/>
    <w:rsid w:val="00C75A8F"/>
    <w:rsid w:val="00C76C0C"/>
    <w:rsid w:val="00C776BA"/>
    <w:rsid w:val="00C81593"/>
    <w:rsid w:val="00C81716"/>
    <w:rsid w:val="00C832CB"/>
    <w:rsid w:val="00C84085"/>
    <w:rsid w:val="00C85311"/>
    <w:rsid w:val="00C85E17"/>
    <w:rsid w:val="00C868A7"/>
    <w:rsid w:val="00C87164"/>
    <w:rsid w:val="00C87BD0"/>
    <w:rsid w:val="00C905E5"/>
    <w:rsid w:val="00C90754"/>
    <w:rsid w:val="00C90B95"/>
    <w:rsid w:val="00C90BC4"/>
    <w:rsid w:val="00C90CA9"/>
    <w:rsid w:val="00C92E41"/>
    <w:rsid w:val="00C92F62"/>
    <w:rsid w:val="00C93097"/>
    <w:rsid w:val="00C93B40"/>
    <w:rsid w:val="00C93DB5"/>
    <w:rsid w:val="00C94CB9"/>
    <w:rsid w:val="00C95C2F"/>
    <w:rsid w:val="00C95F87"/>
    <w:rsid w:val="00C968EF"/>
    <w:rsid w:val="00C97A20"/>
    <w:rsid w:val="00CA0492"/>
    <w:rsid w:val="00CA0A04"/>
    <w:rsid w:val="00CA2528"/>
    <w:rsid w:val="00CA3CAB"/>
    <w:rsid w:val="00CA3FC0"/>
    <w:rsid w:val="00CA4AA8"/>
    <w:rsid w:val="00CA6A2E"/>
    <w:rsid w:val="00CA7D3E"/>
    <w:rsid w:val="00CB0317"/>
    <w:rsid w:val="00CB0662"/>
    <w:rsid w:val="00CB0A82"/>
    <w:rsid w:val="00CB0F2F"/>
    <w:rsid w:val="00CB1556"/>
    <w:rsid w:val="00CB2913"/>
    <w:rsid w:val="00CB3970"/>
    <w:rsid w:val="00CB42B9"/>
    <w:rsid w:val="00CB4F39"/>
    <w:rsid w:val="00CB52A4"/>
    <w:rsid w:val="00CB537C"/>
    <w:rsid w:val="00CB5A26"/>
    <w:rsid w:val="00CB645B"/>
    <w:rsid w:val="00CB6A93"/>
    <w:rsid w:val="00CB77C3"/>
    <w:rsid w:val="00CB7E9C"/>
    <w:rsid w:val="00CC0072"/>
    <w:rsid w:val="00CC0915"/>
    <w:rsid w:val="00CC1AF5"/>
    <w:rsid w:val="00CC1B74"/>
    <w:rsid w:val="00CC1C8B"/>
    <w:rsid w:val="00CC291E"/>
    <w:rsid w:val="00CC2D03"/>
    <w:rsid w:val="00CC2EB0"/>
    <w:rsid w:val="00CC3B83"/>
    <w:rsid w:val="00CC4701"/>
    <w:rsid w:val="00CC56B4"/>
    <w:rsid w:val="00CC5F95"/>
    <w:rsid w:val="00CC642A"/>
    <w:rsid w:val="00CC733D"/>
    <w:rsid w:val="00CC7E7B"/>
    <w:rsid w:val="00CC7E97"/>
    <w:rsid w:val="00CD0F09"/>
    <w:rsid w:val="00CD1255"/>
    <w:rsid w:val="00CD1484"/>
    <w:rsid w:val="00CD1892"/>
    <w:rsid w:val="00CD1D00"/>
    <w:rsid w:val="00CD1EE6"/>
    <w:rsid w:val="00CD27AC"/>
    <w:rsid w:val="00CD2A82"/>
    <w:rsid w:val="00CD3CAB"/>
    <w:rsid w:val="00CD46A7"/>
    <w:rsid w:val="00CD4E50"/>
    <w:rsid w:val="00CD57CB"/>
    <w:rsid w:val="00CD64E1"/>
    <w:rsid w:val="00CD699D"/>
    <w:rsid w:val="00CD6BA3"/>
    <w:rsid w:val="00CD70DB"/>
    <w:rsid w:val="00CD7544"/>
    <w:rsid w:val="00CD78D4"/>
    <w:rsid w:val="00CE0697"/>
    <w:rsid w:val="00CE2E2E"/>
    <w:rsid w:val="00CE3A51"/>
    <w:rsid w:val="00CE41F9"/>
    <w:rsid w:val="00CE59F6"/>
    <w:rsid w:val="00CE5E22"/>
    <w:rsid w:val="00CE66CD"/>
    <w:rsid w:val="00CE6BA9"/>
    <w:rsid w:val="00CE71C3"/>
    <w:rsid w:val="00CF0AF0"/>
    <w:rsid w:val="00CF157E"/>
    <w:rsid w:val="00CF1834"/>
    <w:rsid w:val="00CF1AAA"/>
    <w:rsid w:val="00CF1EC2"/>
    <w:rsid w:val="00CF2ACF"/>
    <w:rsid w:val="00CF345B"/>
    <w:rsid w:val="00CF3A58"/>
    <w:rsid w:val="00CF475F"/>
    <w:rsid w:val="00CF4C5D"/>
    <w:rsid w:val="00CF5008"/>
    <w:rsid w:val="00CF5069"/>
    <w:rsid w:val="00CF5E34"/>
    <w:rsid w:val="00CF7327"/>
    <w:rsid w:val="00CF7385"/>
    <w:rsid w:val="00CF7B77"/>
    <w:rsid w:val="00CF7DF5"/>
    <w:rsid w:val="00D00BBC"/>
    <w:rsid w:val="00D011F5"/>
    <w:rsid w:val="00D0352D"/>
    <w:rsid w:val="00D04F01"/>
    <w:rsid w:val="00D04F8B"/>
    <w:rsid w:val="00D054EF"/>
    <w:rsid w:val="00D05637"/>
    <w:rsid w:val="00D05BA9"/>
    <w:rsid w:val="00D05EB1"/>
    <w:rsid w:val="00D0650B"/>
    <w:rsid w:val="00D06E71"/>
    <w:rsid w:val="00D0714B"/>
    <w:rsid w:val="00D0764E"/>
    <w:rsid w:val="00D07D82"/>
    <w:rsid w:val="00D10327"/>
    <w:rsid w:val="00D10A25"/>
    <w:rsid w:val="00D10BE1"/>
    <w:rsid w:val="00D11FE3"/>
    <w:rsid w:val="00D12945"/>
    <w:rsid w:val="00D1343A"/>
    <w:rsid w:val="00D13D50"/>
    <w:rsid w:val="00D14101"/>
    <w:rsid w:val="00D14919"/>
    <w:rsid w:val="00D14E25"/>
    <w:rsid w:val="00D15667"/>
    <w:rsid w:val="00D15AE3"/>
    <w:rsid w:val="00D160C4"/>
    <w:rsid w:val="00D165D8"/>
    <w:rsid w:val="00D1724E"/>
    <w:rsid w:val="00D17C26"/>
    <w:rsid w:val="00D206F6"/>
    <w:rsid w:val="00D20FD1"/>
    <w:rsid w:val="00D21E6F"/>
    <w:rsid w:val="00D2371E"/>
    <w:rsid w:val="00D237E0"/>
    <w:rsid w:val="00D23A17"/>
    <w:rsid w:val="00D24C11"/>
    <w:rsid w:val="00D25676"/>
    <w:rsid w:val="00D27129"/>
    <w:rsid w:val="00D279E7"/>
    <w:rsid w:val="00D27F75"/>
    <w:rsid w:val="00D3046D"/>
    <w:rsid w:val="00D30497"/>
    <w:rsid w:val="00D30F5F"/>
    <w:rsid w:val="00D31243"/>
    <w:rsid w:val="00D31B07"/>
    <w:rsid w:val="00D31B9D"/>
    <w:rsid w:val="00D32FA0"/>
    <w:rsid w:val="00D33112"/>
    <w:rsid w:val="00D331CB"/>
    <w:rsid w:val="00D3497A"/>
    <w:rsid w:val="00D36A08"/>
    <w:rsid w:val="00D36BB8"/>
    <w:rsid w:val="00D377D4"/>
    <w:rsid w:val="00D37D06"/>
    <w:rsid w:val="00D401A1"/>
    <w:rsid w:val="00D40217"/>
    <w:rsid w:val="00D40385"/>
    <w:rsid w:val="00D404CE"/>
    <w:rsid w:val="00D40E8F"/>
    <w:rsid w:val="00D412BF"/>
    <w:rsid w:val="00D417C6"/>
    <w:rsid w:val="00D42B0C"/>
    <w:rsid w:val="00D42D6E"/>
    <w:rsid w:val="00D43DEF"/>
    <w:rsid w:val="00D44259"/>
    <w:rsid w:val="00D45DDC"/>
    <w:rsid w:val="00D5064C"/>
    <w:rsid w:val="00D50C94"/>
    <w:rsid w:val="00D5251C"/>
    <w:rsid w:val="00D52F56"/>
    <w:rsid w:val="00D539DA"/>
    <w:rsid w:val="00D54A50"/>
    <w:rsid w:val="00D5556D"/>
    <w:rsid w:val="00D55C81"/>
    <w:rsid w:val="00D5674B"/>
    <w:rsid w:val="00D56B56"/>
    <w:rsid w:val="00D56BF5"/>
    <w:rsid w:val="00D56F99"/>
    <w:rsid w:val="00D5743F"/>
    <w:rsid w:val="00D605C2"/>
    <w:rsid w:val="00D60733"/>
    <w:rsid w:val="00D61E1D"/>
    <w:rsid w:val="00D629A4"/>
    <w:rsid w:val="00D62BDF"/>
    <w:rsid w:val="00D64F1C"/>
    <w:rsid w:val="00D6570C"/>
    <w:rsid w:val="00D65A89"/>
    <w:rsid w:val="00D675B0"/>
    <w:rsid w:val="00D678BB"/>
    <w:rsid w:val="00D67C64"/>
    <w:rsid w:val="00D67D81"/>
    <w:rsid w:val="00D70170"/>
    <w:rsid w:val="00D70552"/>
    <w:rsid w:val="00D70D42"/>
    <w:rsid w:val="00D71285"/>
    <w:rsid w:val="00D71ABC"/>
    <w:rsid w:val="00D721C5"/>
    <w:rsid w:val="00D72454"/>
    <w:rsid w:val="00D729A7"/>
    <w:rsid w:val="00D72A5B"/>
    <w:rsid w:val="00D73421"/>
    <w:rsid w:val="00D73CD4"/>
    <w:rsid w:val="00D73F06"/>
    <w:rsid w:val="00D740B2"/>
    <w:rsid w:val="00D74247"/>
    <w:rsid w:val="00D743F1"/>
    <w:rsid w:val="00D7456E"/>
    <w:rsid w:val="00D753A9"/>
    <w:rsid w:val="00D755F7"/>
    <w:rsid w:val="00D75DDB"/>
    <w:rsid w:val="00D75E4B"/>
    <w:rsid w:val="00D77A2F"/>
    <w:rsid w:val="00D77AF6"/>
    <w:rsid w:val="00D8044A"/>
    <w:rsid w:val="00D804C5"/>
    <w:rsid w:val="00D80C40"/>
    <w:rsid w:val="00D81A28"/>
    <w:rsid w:val="00D82B00"/>
    <w:rsid w:val="00D82BE4"/>
    <w:rsid w:val="00D82E05"/>
    <w:rsid w:val="00D83C0D"/>
    <w:rsid w:val="00D83C80"/>
    <w:rsid w:val="00D840B2"/>
    <w:rsid w:val="00D85B9D"/>
    <w:rsid w:val="00D8665E"/>
    <w:rsid w:val="00D869C1"/>
    <w:rsid w:val="00D86EC6"/>
    <w:rsid w:val="00D87418"/>
    <w:rsid w:val="00D87A39"/>
    <w:rsid w:val="00D87FE6"/>
    <w:rsid w:val="00D90070"/>
    <w:rsid w:val="00D90BC3"/>
    <w:rsid w:val="00D90DB9"/>
    <w:rsid w:val="00D91001"/>
    <w:rsid w:val="00D91337"/>
    <w:rsid w:val="00D915C9"/>
    <w:rsid w:val="00D918DA"/>
    <w:rsid w:val="00D9198F"/>
    <w:rsid w:val="00D919FA"/>
    <w:rsid w:val="00D92078"/>
    <w:rsid w:val="00D92A87"/>
    <w:rsid w:val="00D9384E"/>
    <w:rsid w:val="00D93AEE"/>
    <w:rsid w:val="00D9413E"/>
    <w:rsid w:val="00D94C8D"/>
    <w:rsid w:val="00D96698"/>
    <w:rsid w:val="00D96876"/>
    <w:rsid w:val="00D96940"/>
    <w:rsid w:val="00D96B12"/>
    <w:rsid w:val="00D96F59"/>
    <w:rsid w:val="00DA099C"/>
    <w:rsid w:val="00DA0F18"/>
    <w:rsid w:val="00DA2125"/>
    <w:rsid w:val="00DA21EC"/>
    <w:rsid w:val="00DA24DE"/>
    <w:rsid w:val="00DA270C"/>
    <w:rsid w:val="00DA281F"/>
    <w:rsid w:val="00DA4A61"/>
    <w:rsid w:val="00DA61AB"/>
    <w:rsid w:val="00DA61CD"/>
    <w:rsid w:val="00DA6EE2"/>
    <w:rsid w:val="00DA78CF"/>
    <w:rsid w:val="00DA78D5"/>
    <w:rsid w:val="00DA7A89"/>
    <w:rsid w:val="00DA7BF4"/>
    <w:rsid w:val="00DB052F"/>
    <w:rsid w:val="00DB14D3"/>
    <w:rsid w:val="00DB154B"/>
    <w:rsid w:val="00DB1BDC"/>
    <w:rsid w:val="00DB3490"/>
    <w:rsid w:val="00DB3593"/>
    <w:rsid w:val="00DB440B"/>
    <w:rsid w:val="00DB4426"/>
    <w:rsid w:val="00DB4B40"/>
    <w:rsid w:val="00DB4F12"/>
    <w:rsid w:val="00DB4F21"/>
    <w:rsid w:val="00DB5AF0"/>
    <w:rsid w:val="00DB6F96"/>
    <w:rsid w:val="00DB71B9"/>
    <w:rsid w:val="00DB74CF"/>
    <w:rsid w:val="00DC1395"/>
    <w:rsid w:val="00DC32FC"/>
    <w:rsid w:val="00DC3D89"/>
    <w:rsid w:val="00DC4567"/>
    <w:rsid w:val="00DC4F47"/>
    <w:rsid w:val="00DC5BD0"/>
    <w:rsid w:val="00DC5BE2"/>
    <w:rsid w:val="00DC628E"/>
    <w:rsid w:val="00DC6747"/>
    <w:rsid w:val="00DC6AF3"/>
    <w:rsid w:val="00DC7608"/>
    <w:rsid w:val="00DC761E"/>
    <w:rsid w:val="00DC7CFC"/>
    <w:rsid w:val="00DD01BE"/>
    <w:rsid w:val="00DD09F2"/>
    <w:rsid w:val="00DD1205"/>
    <w:rsid w:val="00DD1633"/>
    <w:rsid w:val="00DD2831"/>
    <w:rsid w:val="00DD2989"/>
    <w:rsid w:val="00DD2A6D"/>
    <w:rsid w:val="00DD31F9"/>
    <w:rsid w:val="00DD42DE"/>
    <w:rsid w:val="00DD4309"/>
    <w:rsid w:val="00DD4342"/>
    <w:rsid w:val="00DD4344"/>
    <w:rsid w:val="00DD573B"/>
    <w:rsid w:val="00DD5832"/>
    <w:rsid w:val="00DD5A1E"/>
    <w:rsid w:val="00DD5B8C"/>
    <w:rsid w:val="00DD5DFA"/>
    <w:rsid w:val="00DE0229"/>
    <w:rsid w:val="00DE0524"/>
    <w:rsid w:val="00DE0F09"/>
    <w:rsid w:val="00DE1A9D"/>
    <w:rsid w:val="00DE1CB1"/>
    <w:rsid w:val="00DE2073"/>
    <w:rsid w:val="00DE30AC"/>
    <w:rsid w:val="00DE4106"/>
    <w:rsid w:val="00DE466B"/>
    <w:rsid w:val="00DE48F4"/>
    <w:rsid w:val="00DE4FAF"/>
    <w:rsid w:val="00DE5563"/>
    <w:rsid w:val="00DE5D48"/>
    <w:rsid w:val="00DE6E4D"/>
    <w:rsid w:val="00DE7498"/>
    <w:rsid w:val="00DE74D4"/>
    <w:rsid w:val="00DE75EF"/>
    <w:rsid w:val="00DE7611"/>
    <w:rsid w:val="00DF05A0"/>
    <w:rsid w:val="00DF1BA8"/>
    <w:rsid w:val="00DF1F63"/>
    <w:rsid w:val="00DF28F2"/>
    <w:rsid w:val="00DF2BFF"/>
    <w:rsid w:val="00DF35D1"/>
    <w:rsid w:val="00DF3798"/>
    <w:rsid w:val="00DF4FF1"/>
    <w:rsid w:val="00DF6FD2"/>
    <w:rsid w:val="00DF72EF"/>
    <w:rsid w:val="00DF7724"/>
    <w:rsid w:val="00DF7C98"/>
    <w:rsid w:val="00E00C1E"/>
    <w:rsid w:val="00E00F5F"/>
    <w:rsid w:val="00E014E7"/>
    <w:rsid w:val="00E0232F"/>
    <w:rsid w:val="00E026A9"/>
    <w:rsid w:val="00E0356F"/>
    <w:rsid w:val="00E03B42"/>
    <w:rsid w:val="00E03C10"/>
    <w:rsid w:val="00E03DEC"/>
    <w:rsid w:val="00E0479F"/>
    <w:rsid w:val="00E04816"/>
    <w:rsid w:val="00E04D6A"/>
    <w:rsid w:val="00E05950"/>
    <w:rsid w:val="00E059F4"/>
    <w:rsid w:val="00E05CD4"/>
    <w:rsid w:val="00E06100"/>
    <w:rsid w:val="00E06E97"/>
    <w:rsid w:val="00E10DD1"/>
    <w:rsid w:val="00E1224C"/>
    <w:rsid w:val="00E1254C"/>
    <w:rsid w:val="00E12BDF"/>
    <w:rsid w:val="00E13326"/>
    <w:rsid w:val="00E14356"/>
    <w:rsid w:val="00E14961"/>
    <w:rsid w:val="00E14D76"/>
    <w:rsid w:val="00E15702"/>
    <w:rsid w:val="00E15D6C"/>
    <w:rsid w:val="00E16DD0"/>
    <w:rsid w:val="00E203DE"/>
    <w:rsid w:val="00E20CE7"/>
    <w:rsid w:val="00E217B1"/>
    <w:rsid w:val="00E22100"/>
    <w:rsid w:val="00E222FA"/>
    <w:rsid w:val="00E229CE"/>
    <w:rsid w:val="00E22B4A"/>
    <w:rsid w:val="00E2453F"/>
    <w:rsid w:val="00E24A62"/>
    <w:rsid w:val="00E24F52"/>
    <w:rsid w:val="00E25755"/>
    <w:rsid w:val="00E26D2E"/>
    <w:rsid w:val="00E279B2"/>
    <w:rsid w:val="00E3055B"/>
    <w:rsid w:val="00E31699"/>
    <w:rsid w:val="00E31761"/>
    <w:rsid w:val="00E31812"/>
    <w:rsid w:val="00E31889"/>
    <w:rsid w:val="00E31CE7"/>
    <w:rsid w:val="00E333D5"/>
    <w:rsid w:val="00E3394F"/>
    <w:rsid w:val="00E35A45"/>
    <w:rsid w:val="00E37A6F"/>
    <w:rsid w:val="00E40222"/>
    <w:rsid w:val="00E40406"/>
    <w:rsid w:val="00E408EC"/>
    <w:rsid w:val="00E40BCB"/>
    <w:rsid w:val="00E40E8B"/>
    <w:rsid w:val="00E41F8E"/>
    <w:rsid w:val="00E4208F"/>
    <w:rsid w:val="00E43006"/>
    <w:rsid w:val="00E43551"/>
    <w:rsid w:val="00E437FA"/>
    <w:rsid w:val="00E45A2C"/>
    <w:rsid w:val="00E46A9C"/>
    <w:rsid w:val="00E50BDD"/>
    <w:rsid w:val="00E510CF"/>
    <w:rsid w:val="00E513D7"/>
    <w:rsid w:val="00E5206C"/>
    <w:rsid w:val="00E52AAB"/>
    <w:rsid w:val="00E5448E"/>
    <w:rsid w:val="00E54E0D"/>
    <w:rsid w:val="00E558E5"/>
    <w:rsid w:val="00E56795"/>
    <w:rsid w:val="00E57932"/>
    <w:rsid w:val="00E606C4"/>
    <w:rsid w:val="00E60811"/>
    <w:rsid w:val="00E60AB8"/>
    <w:rsid w:val="00E63C60"/>
    <w:rsid w:val="00E63E8C"/>
    <w:rsid w:val="00E64050"/>
    <w:rsid w:val="00E6514D"/>
    <w:rsid w:val="00E65161"/>
    <w:rsid w:val="00E652C9"/>
    <w:rsid w:val="00E6593B"/>
    <w:rsid w:val="00E672C6"/>
    <w:rsid w:val="00E70192"/>
    <w:rsid w:val="00E70C55"/>
    <w:rsid w:val="00E71809"/>
    <w:rsid w:val="00E71D1E"/>
    <w:rsid w:val="00E728E2"/>
    <w:rsid w:val="00E738FA"/>
    <w:rsid w:val="00E74A2B"/>
    <w:rsid w:val="00E75667"/>
    <w:rsid w:val="00E756D3"/>
    <w:rsid w:val="00E75A5A"/>
    <w:rsid w:val="00E76004"/>
    <w:rsid w:val="00E760D7"/>
    <w:rsid w:val="00E769CC"/>
    <w:rsid w:val="00E77341"/>
    <w:rsid w:val="00E778B8"/>
    <w:rsid w:val="00E801C7"/>
    <w:rsid w:val="00E80AF8"/>
    <w:rsid w:val="00E816E8"/>
    <w:rsid w:val="00E82592"/>
    <w:rsid w:val="00E827BB"/>
    <w:rsid w:val="00E82D24"/>
    <w:rsid w:val="00E8357D"/>
    <w:rsid w:val="00E84212"/>
    <w:rsid w:val="00E84C04"/>
    <w:rsid w:val="00E84F72"/>
    <w:rsid w:val="00E856A2"/>
    <w:rsid w:val="00E8572B"/>
    <w:rsid w:val="00E8575B"/>
    <w:rsid w:val="00E85929"/>
    <w:rsid w:val="00E85AD2"/>
    <w:rsid w:val="00E87CF7"/>
    <w:rsid w:val="00E9036E"/>
    <w:rsid w:val="00E9078A"/>
    <w:rsid w:val="00E912FD"/>
    <w:rsid w:val="00E92C6E"/>
    <w:rsid w:val="00E92D0B"/>
    <w:rsid w:val="00E93195"/>
    <w:rsid w:val="00E951D8"/>
    <w:rsid w:val="00E95C2A"/>
    <w:rsid w:val="00E961CB"/>
    <w:rsid w:val="00E963BC"/>
    <w:rsid w:val="00E96E91"/>
    <w:rsid w:val="00E97DC6"/>
    <w:rsid w:val="00E97F7A"/>
    <w:rsid w:val="00EA0010"/>
    <w:rsid w:val="00EA0143"/>
    <w:rsid w:val="00EA089B"/>
    <w:rsid w:val="00EA2E21"/>
    <w:rsid w:val="00EA380C"/>
    <w:rsid w:val="00EA519C"/>
    <w:rsid w:val="00EA66F2"/>
    <w:rsid w:val="00EA7308"/>
    <w:rsid w:val="00EB089C"/>
    <w:rsid w:val="00EB0AA8"/>
    <w:rsid w:val="00EB0C65"/>
    <w:rsid w:val="00EB1624"/>
    <w:rsid w:val="00EB169F"/>
    <w:rsid w:val="00EB2635"/>
    <w:rsid w:val="00EB2961"/>
    <w:rsid w:val="00EB2E1A"/>
    <w:rsid w:val="00EB2F8A"/>
    <w:rsid w:val="00EB317C"/>
    <w:rsid w:val="00EB3268"/>
    <w:rsid w:val="00EB3298"/>
    <w:rsid w:val="00EB3939"/>
    <w:rsid w:val="00EB3CE6"/>
    <w:rsid w:val="00EB3E92"/>
    <w:rsid w:val="00EB458E"/>
    <w:rsid w:val="00EB54AB"/>
    <w:rsid w:val="00EB6257"/>
    <w:rsid w:val="00EB68E6"/>
    <w:rsid w:val="00EB71C9"/>
    <w:rsid w:val="00EB7B67"/>
    <w:rsid w:val="00EC07F1"/>
    <w:rsid w:val="00EC0C88"/>
    <w:rsid w:val="00EC1E8A"/>
    <w:rsid w:val="00EC328C"/>
    <w:rsid w:val="00EC5241"/>
    <w:rsid w:val="00EC594C"/>
    <w:rsid w:val="00EC5C7B"/>
    <w:rsid w:val="00EC66AA"/>
    <w:rsid w:val="00EC6B8F"/>
    <w:rsid w:val="00EC6DB1"/>
    <w:rsid w:val="00EC7371"/>
    <w:rsid w:val="00EC7A28"/>
    <w:rsid w:val="00EC7B48"/>
    <w:rsid w:val="00ED0257"/>
    <w:rsid w:val="00ED071B"/>
    <w:rsid w:val="00ED1ADE"/>
    <w:rsid w:val="00ED45FE"/>
    <w:rsid w:val="00ED4A77"/>
    <w:rsid w:val="00ED5981"/>
    <w:rsid w:val="00ED613A"/>
    <w:rsid w:val="00ED6360"/>
    <w:rsid w:val="00ED6514"/>
    <w:rsid w:val="00ED66B2"/>
    <w:rsid w:val="00ED6ACA"/>
    <w:rsid w:val="00ED71BA"/>
    <w:rsid w:val="00ED73A1"/>
    <w:rsid w:val="00ED7CA2"/>
    <w:rsid w:val="00EE13DA"/>
    <w:rsid w:val="00EE1595"/>
    <w:rsid w:val="00EE2087"/>
    <w:rsid w:val="00EE20C2"/>
    <w:rsid w:val="00EE2A9D"/>
    <w:rsid w:val="00EE3384"/>
    <w:rsid w:val="00EE499F"/>
    <w:rsid w:val="00EE56E2"/>
    <w:rsid w:val="00EE577F"/>
    <w:rsid w:val="00EE6962"/>
    <w:rsid w:val="00EE6D45"/>
    <w:rsid w:val="00EE6E89"/>
    <w:rsid w:val="00EF0D4B"/>
    <w:rsid w:val="00EF0FE6"/>
    <w:rsid w:val="00EF1432"/>
    <w:rsid w:val="00EF1511"/>
    <w:rsid w:val="00EF2C5F"/>
    <w:rsid w:val="00EF3AC4"/>
    <w:rsid w:val="00EF3FF9"/>
    <w:rsid w:val="00EF41AF"/>
    <w:rsid w:val="00EF4DB4"/>
    <w:rsid w:val="00EF55E9"/>
    <w:rsid w:val="00EF5B41"/>
    <w:rsid w:val="00EF611C"/>
    <w:rsid w:val="00F00630"/>
    <w:rsid w:val="00F00922"/>
    <w:rsid w:val="00F00924"/>
    <w:rsid w:val="00F00DEE"/>
    <w:rsid w:val="00F01BE6"/>
    <w:rsid w:val="00F0217A"/>
    <w:rsid w:val="00F026D3"/>
    <w:rsid w:val="00F03395"/>
    <w:rsid w:val="00F034E6"/>
    <w:rsid w:val="00F03E4C"/>
    <w:rsid w:val="00F06258"/>
    <w:rsid w:val="00F06340"/>
    <w:rsid w:val="00F0665D"/>
    <w:rsid w:val="00F06D42"/>
    <w:rsid w:val="00F07134"/>
    <w:rsid w:val="00F0724D"/>
    <w:rsid w:val="00F07378"/>
    <w:rsid w:val="00F0759F"/>
    <w:rsid w:val="00F10B81"/>
    <w:rsid w:val="00F14B4B"/>
    <w:rsid w:val="00F14CD1"/>
    <w:rsid w:val="00F15115"/>
    <w:rsid w:val="00F15C81"/>
    <w:rsid w:val="00F15D8C"/>
    <w:rsid w:val="00F15F18"/>
    <w:rsid w:val="00F16AFF"/>
    <w:rsid w:val="00F16B86"/>
    <w:rsid w:val="00F16E1A"/>
    <w:rsid w:val="00F16F92"/>
    <w:rsid w:val="00F17C3E"/>
    <w:rsid w:val="00F20197"/>
    <w:rsid w:val="00F20369"/>
    <w:rsid w:val="00F20607"/>
    <w:rsid w:val="00F208BB"/>
    <w:rsid w:val="00F213D8"/>
    <w:rsid w:val="00F21A5D"/>
    <w:rsid w:val="00F21C13"/>
    <w:rsid w:val="00F22362"/>
    <w:rsid w:val="00F22796"/>
    <w:rsid w:val="00F2363A"/>
    <w:rsid w:val="00F238F7"/>
    <w:rsid w:val="00F23BA0"/>
    <w:rsid w:val="00F2420C"/>
    <w:rsid w:val="00F254C4"/>
    <w:rsid w:val="00F25641"/>
    <w:rsid w:val="00F256D8"/>
    <w:rsid w:val="00F26065"/>
    <w:rsid w:val="00F266E3"/>
    <w:rsid w:val="00F2689C"/>
    <w:rsid w:val="00F27E44"/>
    <w:rsid w:val="00F30313"/>
    <w:rsid w:val="00F303BC"/>
    <w:rsid w:val="00F31464"/>
    <w:rsid w:val="00F318A1"/>
    <w:rsid w:val="00F31CF5"/>
    <w:rsid w:val="00F3265C"/>
    <w:rsid w:val="00F343EE"/>
    <w:rsid w:val="00F353F4"/>
    <w:rsid w:val="00F35494"/>
    <w:rsid w:val="00F35607"/>
    <w:rsid w:val="00F35DBA"/>
    <w:rsid w:val="00F3619D"/>
    <w:rsid w:val="00F3722A"/>
    <w:rsid w:val="00F37366"/>
    <w:rsid w:val="00F37C99"/>
    <w:rsid w:val="00F419B8"/>
    <w:rsid w:val="00F41C0F"/>
    <w:rsid w:val="00F42856"/>
    <w:rsid w:val="00F43777"/>
    <w:rsid w:val="00F43D9D"/>
    <w:rsid w:val="00F4482B"/>
    <w:rsid w:val="00F44F02"/>
    <w:rsid w:val="00F4526B"/>
    <w:rsid w:val="00F45F64"/>
    <w:rsid w:val="00F462DF"/>
    <w:rsid w:val="00F4662D"/>
    <w:rsid w:val="00F467BA"/>
    <w:rsid w:val="00F4689E"/>
    <w:rsid w:val="00F468AC"/>
    <w:rsid w:val="00F46A5F"/>
    <w:rsid w:val="00F47316"/>
    <w:rsid w:val="00F47507"/>
    <w:rsid w:val="00F47A01"/>
    <w:rsid w:val="00F47CEE"/>
    <w:rsid w:val="00F5052D"/>
    <w:rsid w:val="00F50B0A"/>
    <w:rsid w:val="00F51A82"/>
    <w:rsid w:val="00F51B78"/>
    <w:rsid w:val="00F5254B"/>
    <w:rsid w:val="00F53A44"/>
    <w:rsid w:val="00F54E5E"/>
    <w:rsid w:val="00F551DB"/>
    <w:rsid w:val="00F559BE"/>
    <w:rsid w:val="00F56FEF"/>
    <w:rsid w:val="00F57521"/>
    <w:rsid w:val="00F60938"/>
    <w:rsid w:val="00F60C7E"/>
    <w:rsid w:val="00F60E0A"/>
    <w:rsid w:val="00F61606"/>
    <w:rsid w:val="00F61918"/>
    <w:rsid w:val="00F62151"/>
    <w:rsid w:val="00F62CA8"/>
    <w:rsid w:val="00F630B4"/>
    <w:rsid w:val="00F635EF"/>
    <w:rsid w:val="00F63BF4"/>
    <w:rsid w:val="00F63C55"/>
    <w:rsid w:val="00F63C60"/>
    <w:rsid w:val="00F64991"/>
    <w:rsid w:val="00F65BA9"/>
    <w:rsid w:val="00F65BC8"/>
    <w:rsid w:val="00F66205"/>
    <w:rsid w:val="00F6630F"/>
    <w:rsid w:val="00F66419"/>
    <w:rsid w:val="00F67B58"/>
    <w:rsid w:val="00F67E81"/>
    <w:rsid w:val="00F71C68"/>
    <w:rsid w:val="00F724E2"/>
    <w:rsid w:val="00F74103"/>
    <w:rsid w:val="00F745A4"/>
    <w:rsid w:val="00F74C0C"/>
    <w:rsid w:val="00F75BB5"/>
    <w:rsid w:val="00F75FD5"/>
    <w:rsid w:val="00F7604C"/>
    <w:rsid w:val="00F773A9"/>
    <w:rsid w:val="00F77E37"/>
    <w:rsid w:val="00F81623"/>
    <w:rsid w:val="00F81D25"/>
    <w:rsid w:val="00F8206F"/>
    <w:rsid w:val="00F829B9"/>
    <w:rsid w:val="00F83045"/>
    <w:rsid w:val="00F83615"/>
    <w:rsid w:val="00F8374C"/>
    <w:rsid w:val="00F841C9"/>
    <w:rsid w:val="00F8421D"/>
    <w:rsid w:val="00F85329"/>
    <w:rsid w:val="00F86079"/>
    <w:rsid w:val="00F87282"/>
    <w:rsid w:val="00F878CD"/>
    <w:rsid w:val="00F87905"/>
    <w:rsid w:val="00F87A66"/>
    <w:rsid w:val="00F901F7"/>
    <w:rsid w:val="00F90C1F"/>
    <w:rsid w:val="00F91A44"/>
    <w:rsid w:val="00F9217B"/>
    <w:rsid w:val="00F97A34"/>
    <w:rsid w:val="00F97E4A"/>
    <w:rsid w:val="00F97EA1"/>
    <w:rsid w:val="00FA05C8"/>
    <w:rsid w:val="00FA0678"/>
    <w:rsid w:val="00FA0DB6"/>
    <w:rsid w:val="00FA23F7"/>
    <w:rsid w:val="00FA27EB"/>
    <w:rsid w:val="00FA3EBC"/>
    <w:rsid w:val="00FA423C"/>
    <w:rsid w:val="00FA44D0"/>
    <w:rsid w:val="00FA55A2"/>
    <w:rsid w:val="00FA672F"/>
    <w:rsid w:val="00FA7792"/>
    <w:rsid w:val="00FA7AA8"/>
    <w:rsid w:val="00FA7F1D"/>
    <w:rsid w:val="00FB0D60"/>
    <w:rsid w:val="00FB2BF5"/>
    <w:rsid w:val="00FB2F8E"/>
    <w:rsid w:val="00FB30C3"/>
    <w:rsid w:val="00FB39B0"/>
    <w:rsid w:val="00FB4117"/>
    <w:rsid w:val="00FB501A"/>
    <w:rsid w:val="00FB5138"/>
    <w:rsid w:val="00FB5A71"/>
    <w:rsid w:val="00FB7823"/>
    <w:rsid w:val="00FC05B2"/>
    <w:rsid w:val="00FC08B3"/>
    <w:rsid w:val="00FC09D7"/>
    <w:rsid w:val="00FC22D0"/>
    <w:rsid w:val="00FC38D4"/>
    <w:rsid w:val="00FC391E"/>
    <w:rsid w:val="00FC3BB7"/>
    <w:rsid w:val="00FC4345"/>
    <w:rsid w:val="00FC444A"/>
    <w:rsid w:val="00FC453D"/>
    <w:rsid w:val="00FC4A89"/>
    <w:rsid w:val="00FC665F"/>
    <w:rsid w:val="00FC6D22"/>
    <w:rsid w:val="00FC6D59"/>
    <w:rsid w:val="00FC78F5"/>
    <w:rsid w:val="00FC7AD2"/>
    <w:rsid w:val="00FD10B3"/>
    <w:rsid w:val="00FD11C3"/>
    <w:rsid w:val="00FD154E"/>
    <w:rsid w:val="00FD24D7"/>
    <w:rsid w:val="00FD29CE"/>
    <w:rsid w:val="00FD3AE2"/>
    <w:rsid w:val="00FD3E41"/>
    <w:rsid w:val="00FD5AE4"/>
    <w:rsid w:val="00FD5F25"/>
    <w:rsid w:val="00FD60BE"/>
    <w:rsid w:val="00FD6894"/>
    <w:rsid w:val="00FD6AF0"/>
    <w:rsid w:val="00FD704D"/>
    <w:rsid w:val="00FD79B8"/>
    <w:rsid w:val="00FD79F6"/>
    <w:rsid w:val="00FE0AD1"/>
    <w:rsid w:val="00FE1852"/>
    <w:rsid w:val="00FE2FF2"/>
    <w:rsid w:val="00FE33DB"/>
    <w:rsid w:val="00FE33F5"/>
    <w:rsid w:val="00FE37DD"/>
    <w:rsid w:val="00FE3C31"/>
    <w:rsid w:val="00FE4015"/>
    <w:rsid w:val="00FE44F5"/>
    <w:rsid w:val="00FE4783"/>
    <w:rsid w:val="00FE480D"/>
    <w:rsid w:val="00FE4ACC"/>
    <w:rsid w:val="00FE4F1A"/>
    <w:rsid w:val="00FE52F1"/>
    <w:rsid w:val="00FE74A9"/>
    <w:rsid w:val="00FE7DD1"/>
    <w:rsid w:val="00FF0B4F"/>
    <w:rsid w:val="00FF1A06"/>
    <w:rsid w:val="00FF1AD3"/>
    <w:rsid w:val="00FF1B46"/>
    <w:rsid w:val="00FF219D"/>
    <w:rsid w:val="00FF49B4"/>
    <w:rsid w:val="00FF49F4"/>
    <w:rsid w:val="00FF651D"/>
    <w:rsid w:val="00FF6843"/>
    <w:rsid w:val="00FF6F17"/>
    <w:rsid w:val="010651D9"/>
    <w:rsid w:val="01562719"/>
    <w:rsid w:val="015639FA"/>
    <w:rsid w:val="02220B0B"/>
    <w:rsid w:val="022B1AE8"/>
    <w:rsid w:val="02A559CB"/>
    <w:rsid w:val="02EB4BB1"/>
    <w:rsid w:val="038C33D6"/>
    <w:rsid w:val="03DD35E4"/>
    <w:rsid w:val="044C547B"/>
    <w:rsid w:val="04E13D88"/>
    <w:rsid w:val="05216BC5"/>
    <w:rsid w:val="052C04C2"/>
    <w:rsid w:val="0559195D"/>
    <w:rsid w:val="05D660EF"/>
    <w:rsid w:val="065A6178"/>
    <w:rsid w:val="067A7031"/>
    <w:rsid w:val="06ED56C3"/>
    <w:rsid w:val="081F3355"/>
    <w:rsid w:val="084D28C3"/>
    <w:rsid w:val="08735BF1"/>
    <w:rsid w:val="08A0637E"/>
    <w:rsid w:val="08D874D7"/>
    <w:rsid w:val="0A5B7E63"/>
    <w:rsid w:val="0AD876A7"/>
    <w:rsid w:val="0BE44773"/>
    <w:rsid w:val="0BF67686"/>
    <w:rsid w:val="0C373763"/>
    <w:rsid w:val="0C87121B"/>
    <w:rsid w:val="0CA778FC"/>
    <w:rsid w:val="0D186F92"/>
    <w:rsid w:val="0D3F4884"/>
    <w:rsid w:val="0D7A1E6C"/>
    <w:rsid w:val="0DF702FE"/>
    <w:rsid w:val="0E956289"/>
    <w:rsid w:val="0F816ACD"/>
    <w:rsid w:val="10674AEF"/>
    <w:rsid w:val="10FC16EA"/>
    <w:rsid w:val="113434AF"/>
    <w:rsid w:val="113660A9"/>
    <w:rsid w:val="118963A1"/>
    <w:rsid w:val="11AE2DF6"/>
    <w:rsid w:val="11B3012C"/>
    <w:rsid w:val="11B41665"/>
    <w:rsid w:val="12744273"/>
    <w:rsid w:val="127723A9"/>
    <w:rsid w:val="12C7494F"/>
    <w:rsid w:val="12D53804"/>
    <w:rsid w:val="12E7330F"/>
    <w:rsid w:val="12F92AE1"/>
    <w:rsid w:val="13072A44"/>
    <w:rsid w:val="13E834A6"/>
    <w:rsid w:val="14F25619"/>
    <w:rsid w:val="161E426E"/>
    <w:rsid w:val="16327697"/>
    <w:rsid w:val="16C12C1C"/>
    <w:rsid w:val="189C0240"/>
    <w:rsid w:val="18C840E0"/>
    <w:rsid w:val="19686436"/>
    <w:rsid w:val="19726543"/>
    <w:rsid w:val="1A6255C9"/>
    <w:rsid w:val="1AC467F5"/>
    <w:rsid w:val="1B2A271F"/>
    <w:rsid w:val="1B3C2845"/>
    <w:rsid w:val="1BC85D7E"/>
    <w:rsid w:val="1BCD32EC"/>
    <w:rsid w:val="1CDD484E"/>
    <w:rsid w:val="1D00614E"/>
    <w:rsid w:val="1D266CE1"/>
    <w:rsid w:val="1D3850A7"/>
    <w:rsid w:val="1D3963AF"/>
    <w:rsid w:val="1D8C1F68"/>
    <w:rsid w:val="1DCE7E97"/>
    <w:rsid w:val="1E0A6CAF"/>
    <w:rsid w:val="1E714A66"/>
    <w:rsid w:val="1EB71035"/>
    <w:rsid w:val="1EC56AE7"/>
    <w:rsid w:val="1EEB6E1B"/>
    <w:rsid w:val="1FE868A9"/>
    <w:rsid w:val="21417438"/>
    <w:rsid w:val="225E78CA"/>
    <w:rsid w:val="227744F1"/>
    <w:rsid w:val="23836589"/>
    <w:rsid w:val="23C147DA"/>
    <w:rsid w:val="242353BF"/>
    <w:rsid w:val="24AE28A5"/>
    <w:rsid w:val="24F70FF1"/>
    <w:rsid w:val="250011CA"/>
    <w:rsid w:val="25A324F0"/>
    <w:rsid w:val="26870ED9"/>
    <w:rsid w:val="26BC26AF"/>
    <w:rsid w:val="278A7B11"/>
    <w:rsid w:val="279B4FED"/>
    <w:rsid w:val="28B237BB"/>
    <w:rsid w:val="292806BC"/>
    <w:rsid w:val="29372732"/>
    <w:rsid w:val="29383CF4"/>
    <w:rsid w:val="29393D6A"/>
    <w:rsid w:val="294728D0"/>
    <w:rsid w:val="296048AC"/>
    <w:rsid w:val="297942FA"/>
    <w:rsid w:val="2A0B069B"/>
    <w:rsid w:val="2A8968F0"/>
    <w:rsid w:val="2A931B90"/>
    <w:rsid w:val="2AE650A2"/>
    <w:rsid w:val="2B09140F"/>
    <w:rsid w:val="2C1D5850"/>
    <w:rsid w:val="2C747F9C"/>
    <w:rsid w:val="2C7B619D"/>
    <w:rsid w:val="2CD31625"/>
    <w:rsid w:val="2DD15014"/>
    <w:rsid w:val="2E08255B"/>
    <w:rsid w:val="2E10016D"/>
    <w:rsid w:val="2E667872"/>
    <w:rsid w:val="2E7C3A3C"/>
    <w:rsid w:val="2E9B1B86"/>
    <w:rsid w:val="2EB70490"/>
    <w:rsid w:val="2F1A604B"/>
    <w:rsid w:val="2F1C01EB"/>
    <w:rsid w:val="2FD25781"/>
    <w:rsid w:val="30291178"/>
    <w:rsid w:val="30421BB8"/>
    <w:rsid w:val="30DC419A"/>
    <w:rsid w:val="30FB675D"/>
    <w:rsid w:val="317038D8"/>
    <w:rsid w:val="319C6071"/>
    <w:rsid w:val="32971EFE"/>
    <w:rsid w:val="32D55986"/>
    <w:rsid w:val="33A64F46"/>
    <w:rsid w:val="33BC2828"/>
    <w:rsid w:val="342E63AB"/>
    <w:rsid w:val="350D43E5"/>
    <w:rsid w:val="35BE562C"/>
    <w:rsid w:val="36511B1E"/>
    <w:rsid w:val="365302AE"/>
    <w:rsid w:val="370061A6"/>
    <w:rsid w:val="379C58DE"/>
    <w:rsid w:val="381C1D0C"/>
    <w:rsid w:val="38414EAF"/>
    <w:rsid w:val="3853176B"/>
    <w:rsid w:val="3873560A"/>
    <w:rsid w:val="38CD49CF"/>
    <w:rsid w:val="38EC76CF"/>
    <w:rsid w:val="38F424E8"/>
    <w:rsid w:val="39AA4361"/>
    <w:rsid w:val="39E82F80"/>
    <w:rsid w:val="3A8D3561"/>
    <w:rsid w:val="3A9547CC"/>
    <w:rsid w:val="3AB4234C"/>
    <w:rsid w:val="3B0C333D"/>
    <w:rsid w:val="3B25608F"/>
    <w:rsid w:val="3B8C162C"/>
    <w:rsid w:val="3C5307ED"/>
    <w:rsid w:val="3C5F759A"/>
    <w:rsid w:val="3DEE6B47"/>
    <w:rsid w:val="3E7265D8"/>
    <w:rsid w:val="3EDF02B2"/>
    <w:rsid w:val="3F090005"/>
    <w:rsid w:val="401F7FD3"/>
    <w:rsid w:val="404615D1"/>
    <w:rsid w:val="40ED25B8"/>
    <w:rsid w:val="411727D8"/>
    <w:rsid w:val="41BD1B13"/>
    <w:rsid w:val="41E30075"/>
    <w:rsid w:val="41EB6546"/>
    <w:rsid w:val="42D84012"/>
    <w:rsid w:val="42E1381E"/>
    <w:rsid w:val="4324307E"/>
    <w:rsid w:val="43415CC9"/>
    <w:rsid w:val="43B0023F"/>
    <w:rsid w:val="43BA0D3D"/>
    <w:rsid w:val="44015F70"/>
    <w:rsid w:val="446130FF"/>
    <w:rsid w:val="4482790D"/>
    <w:rsid w:val="44F369C7"/>
    <w:rsid w:val="45445966"/>
    <w:rsid w:val="454B30A4"/>
    <w:rsid w:val="460841C7"/>
    <w:rsid w:val="468D492A"/>
    <w:rsid w:val="46922152"/>
    <w:rsid w:val="47C76A81"/>
    <w:rsid w:val="489245C9"/>
    <w:rsid w:val="48A56DE4"/>
    <w:rsid w:val="496F6037"/>
    <w:rsid w:val="498441BE"/>
    <w:rsid w:val="499E1223"/>
    <w:rsid w:val="49A474E2"/>
    <w:rsid w:val="4A22547F"/>
    <w:rsid w:val="4AD54622"/>
    <w:rsid w:val="4B5F04A2"/>
    <w:rsid w:val="4B6C3E1B"/>
    <w:rsid w:val="4B6D0F77"/>
    <w:rsid w:val="4B797CE8"/>
    <w:rsid w:val="4BFB08F2"/>
    <w:rsid w:val="4C0B659C"/>
    <w:rsid w:val="4C4C6997"/>
    <w:rsid w:val="4D0D4EAC"/>
    <w:rsid w:val="4D402510"/>
    <w:rsid w:val="4D9D0F56"/>
    <w:rsid w:val="4DAE5683"/>
    <w:rsid w:val="4E2B37D4"/>
    <w:rsid w:val="4E526C63"/>
    <w:rsid w:val="4F015C22"/>
    <w:rsid w:val="4FA57321"/>
    <w:rsid w:val="50086DD2"/>
    <w:rsid w:val="508A4CDA"/>
    <w:rsid w:val="50981142"/>
    <w:rsid w:val="519E2374"/>
    <w:rsid w:val="51A0432A"/>
    <w:rsid w:val="51AA2774"/>
    <w:rsid w:val="51AF4F0E"/>
    <w:rsid w:val="51E31065"/>
    <w:rsid w:val="527265B1"/>
    <w:rsid w:val="52A96B6F"/>
    <w:rsid w:val="532A3008"/>
    <w:rsid w:val="545965CF"/>
    <w:rsid w:val="54662C2A"/>
    <w:rsid w:val="54E82379"/>
    <w:rsid w:val="55036A0A"/>
    <w:rsid w:val="550764A4"/>
    <w:rsid w:val="55707376"/>
    <w:rsid w:val="55E61D30"/>
    <w:rsid w:val="55E96819"/>
    <w:rsid w:val="560670B1"/>
    <w:rsid w:val="5636665E"/>
    <w:rsid w:val="565D024C"/>
    <w:rsid w:val="568B7024"/>
    <w:rsid w:val="579827E2"/>
    <w:rsid w:val="58420AE4"/>
    <w:rsid w:val="589203AF"/>
    <w:rsid w:val="589333F4"/>
    <w:rsid w:val="58974028"/>
    <w:rsid w:val="58AE4F0C"/>
    <w:rsid w:val="59F90E33"/>
    <w:rsid w:val="5A104D22"/>
    <w:rsid w:val="5A2A7C7B"/>
    <w:rsid w:val="5A7853BB"/>
    <w:rsid w:val="5A8979BE"/>
    <w:rsid w:val="5A9D5307"/>
    <w:rsid w:val="5AC71631"/>
    <w:rsid w:val="5BDB58EB"/>
    <w:rsid w:val="5C2560B6"/>
    <w:rsid w:val="5C80234E"/>
    <w:rsid w:val="5CD505C7"/>
    <w:rsid w:val="5E261785"/>
    <w:rsid w:val="5E4C3481"/>
    <w:rsid w:val="5E9C69EE"/>
    <w:rsid w:val="5EBB1B99"/>
    <w:rsid w:val="5EED740A"/>
    <w:rsid w:val="5F475177"/>
    <w:rsid w:val="5FBD0E19"/>
    <w:rsid w:val="5FCC5339"/>
    <w:rsid w:val="607B1E51"/>
    <w:rsid w:val="61054A27"/>
    <w:rsid w:val="6111237C"/>
    <w:rsid w:val="611D2366"/>
    <w:rsid w:val="61BC1D92"/>
    <w:rsid w:val="620A3820"/>
    <w:rsid w:val="62611486"/>
    <w:rsid w:val="62885958"/>
    <w:rsid w:val="62A46F55"/>
    <w:rsid w:val="6372729A"/>
    <w:rsid w:val="6378729D"/>
    <w:rsid w:val="63E31463"/>
    <w:rsid w:val="64467748"/>
    <w:rsid w:val="64503810"/>
    <w:rsid w:val="64CE2EAA"/>
    <w:rsid w:val="652240C9"/>
    <w:rsid w:val="659B443E"/>
    <w:rsid w:val="66153261"/>
    <w:rsid w:val="662E75B1"/>
    <w:rsid w:val="66342C2E"/>
    <w:rsid w:val="663E784C"/>
    <w:rsid w:val="664C586B"/>
    <w:rsid w:val="66C8741C"/>
    <w:rsid w:val="67220309"/>
    <w:rsid w:val="67884322"/>
    <w:rsid w:val="67963445"/>
    <w:rsid w:val="68914F00"/>
    <w:rsid w:val="699903ED"/>
    <w:rsid w:val="699C45C6"/>
    <w:rsid w:val="69DA00D0"/>
    <w:rsid w:val="6A2A0B55"/>
    <w:rsid w:val="6A3234C2"/>
    <w:rsid w:val="6B703163"/>
    <w:rsid w:val="6B835F61"/>
    <w:rsid w:val="6B9F559F"/>
    <w:rsid w:val="6CC217E2"/>
    <w:rsid w:val="6D1A69E8"/>
    <w:rsid w:val="6DAA138C"/>
    <w:rsid w:val="6DC82281"/>
    <w:rsid w:val="6E8E12EF"/>
    <w:rsid w:val="6F2944BF"/>
    <w:rsid w:val="6F883059"/>
    <w:rsid w:val="700A09D7"/>
    <w:rsid w:val="70616C6C"/>
    <w:rsid w:val="708B399D"/>
    <w:rsid w:val="712748F6"/>
    <w:rsid w:val="71492189"/>
    <w:rsid w:val="719E290E"/>
    <w:rsid w:val="71D43752"/>
    <w:rsid w:val="722F671C"/>
    <w:rsid w:val="723D665F"/>
    <w:rsid w:val="726637C3"/>
    <w:rsid w:val="72E45456"/>
    <w:rsid w:val="73376B59"/>
    <w:rsid w:val="737E30F1"/>
    <w:rsid w:val="73B33596"/>
    <w:rsid w:val="746776CD"/>
    <w:rsid w:val="746C1F70"/>
    <w:rsid w:val="749C4185"/>
    <w:rsid w:val="74BB08C1"/>
    <w:rsid w:val="75240F70"/>
    <w:rsid w:val="753D7F0A"/>
    <w:rsid w:val="757C015E"/>
    <w:rsid w:val="75DA2C18"/>
    <w:rsid w:val="76BD669B"/>
    <w:rsid w:val="77A82E7A"/>
    <w:rsid w:val="77D33653"/>
    <w:rsid w:val="78473360"/>
    <w:rsid w:val="784A36DE"/>
    <w:rsid w:val="795C00FF"/>
    <w:rsid w:val="798C63B0"/>
    <w:rsid w:val="79BB0CB2"/>
    <w:rsid w:val="79E003B7"/>
    <w:rsid w:val="79F05942"/>
    <w:rsid w:val="79F52DC5"/>
    <w:rsid w:val="7A0F40C8"/>
    <w:rsid w:val="7A3E4883"/>
    <w:rsid w:val="7A67303B"/>
    <w:rsid w:val="7AAB1D04"/>
    <w:rsid w:val="7ABA4368"/>
    <w:rsid w:val="7B067877"/>
    <w:rsid w:val="7B257FFD"/>
    <w:rsid w:val="7BBD5724"/>
    <w:rsid w:val="7BEE64AD"/>
    <w:rsid w:val="7C85027C"/>
    <w:rsid w:val="7C874A43"/>
    <w:rsid w:val="7D1C798E"/>
    <w:rsid w:val="7D701ED9"/>
    <w:rsid w:val="7DC244C3"/>
    <w:rsid w:val="7E22154F"/>
    <w:rsid w:val="7E2608C2"/>
    <w:rsid w:val="7EC85D13"/>
    <w:rsid w:val="7EE115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autoRedefine/>
    <w:qFormat/>
    <w:uiPriority w:val="0"/>
    <w:pPr>
      <w:keepNext/>
      <w:keepLines/>
      <w:numPr>
        <w:ilvl w:val="0"/>
        <w:numId w:val="1"/>
      </w:numPr>
      <w:spacing w:before="340" w:beforeLines="0" w:after="330" w:afterLines="0" w:line="578" w:lineRule="auto"/>
      <w:outlineLvl w:val="0"/>
    </w:pPr>
    <w:rPr>
      <w:b/>
      <w:bCs/>
      <w:kern w:val="44"/>
      <w:sz w:val="44"/>
      <w:szCs w:val="44"/>
    </w:rPr>
  </w:style>
  <w:style w:type="paragraph" w:styleId="3">
    <w:name w:val="heading 2"/>
    <w:basedOn w:val="1"/>
    <w:next w:val="1"/>
    <w:autoRedefine/>
    <w:qFormat/>
    <w:uiPriority w:val="9"/>
    <w:pPr>
      <w:keepNext/>
      <w:keepLines/>
      <w:numPr>
        <w:ilvl w:val="0"/>
        <w:numId w:val="2"/>
      </w:numPr>
      <w:adjustRightInd/>
      <w:spacing w:line="360" w:lineRule="auto"/>
      <w:jc w:val="left"/>
      <w:outlineLvl w:val="1"/>
    </w:pPr>
    <w:rPr>
      <w:rFonts w:ascii="仿宋_GB2312" w:hAnsi="仿宋" w:eastAsia="仿宋_GB2312"/>
      <w:b/>
      <w:bCs/>
      <w:sz w:val="32"/>
      <w:szCs w:val="32"/>
      <w:lang w:val="zh-CN"/>
    </w:rPr>
  </w:style>
  <w:style w:type="paragraph" w:styleId="4">
    <w:name w:val="heading 3"/>
    <w:basedOn w:val="1"/>
    <w:next w:val="1"/>
    <w:autoRedefine/>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6"/>
    <w:link w:val="72"/>
    <w:autoRedefine/>
    <w:qFormat/>
    <w:uiPriority w:val="0"/>
    <w:pPr>
      <w:keepNext/>
      <w:keepLines/>
      <w:numPr>
        <w:ilvl w:val="3"/>
        <w:numId w:val="1"/>
      </w:numPr>
      <w:spacing w:before="280" w:beforeLines="0" w:after="290" w:afterLines="0" w:line="376" w:lineRule="auto"/>
      <w:outlineLvl w:val="3"/>
    </w:pPr>
    <w:rPr>
      <w:rFonts w:ascii="Arial" w:hAnsi="Arial" w:eastAsia="黑体"/>
      <w:b/>
      <w:bCs/>
      <w:sz w:val="28"/>
      <w:szCs w:val="28"/>
      <w:lang w:val="zh-CN"/>
    </w:rPr>
  </w:style>
  <w:style w:type="paragraph" w:styleId="7">
    <w:name w:val="heading 5"/>
    <w:basedOn w:val="1"/>
    <w:next w:val="1"/>
    <w:link w:val="74"/>
    <w:autoRedefine/>
    <w:qFormat/>
    <w:uiPriority w:val="0"/>
    <w:pPr>
      <w:keepNext/>
      <w:keepLines/>
      <w:numPr>
        <w:ilvl w:val="4"/>
        <w:numId w:val="1"/>
      </w:numPr>
      <w:spacing w:before="280" w:beforeLines="0" w:after="290" w:afterLines="0" w:line="376" w:lineRule="auto"/>
      <w:outlineLvl w:val="4"/>
    </w:pPr>
    <w:rPr>
      <w:b/>
      <w:bCs/>
      <w:sz w:val="28"/>
      <w:szCs w:val="28"/>
    </w:rPr>
  </w:style>
  <w:style w:type="paragraph" w:styleId="8">
    <w:name w:val="heading 6"/>
    <w:basedOn w:val="1"/>
    <w:next w:val="1"/>
    <w:link w:val="75"/>
    <w:autoRedefine/>
    <w:qFormat/>
    <w:uiPriority w:val="0"/>
    <w:pPr>
      <w:keepNext/>
      <w:keepLines/>
      <w:numPr>
        <w:ilvl w:val="5"/>
        <w:numId w:val="1"/>
      </w:numPr>
      <w:spacing w:before="240" w:beforeLines="0" w:after="64" w:afterLines="0" w:line="320" w:lineRule="auto"/>
      <w:outlineLvl w:val="5"/>
    </w:pPr>
    <w:rPr>
      <w:rFonts w:ascii="Arial" w:hAnsi="Arial" w:eastAsia="黑体"/>
      <w:b/>
      <w:bCs/>
      <w:sz w:val="24"/>
    </w:rPr>
  </w:style>
  <w:style w:type="paragraph" w:styleId="9">
    <w:name w:val="heading 7"/>
    <w:basedOn w:val="1"/>
    <w:next w:val="1"/>
    <w:link w:val="76"/>
    <w:autoRedefine/>
    <w:qFormat/>
    <w:uiPriority w:val="0"/>
    <w:pPr>
      <w:keepNext/>
      <w:keepLines/>
      <w:numPr>
        <w:ilvl w:val="6"/>
        <w:numId w:val="1"/>
      </w:numPr>
      <w:spacing w:before="240" w:beforeLines="0" w:after="64" w:afterLines="0" w:line="320" w:lineRule="auto"/>
      <w:outlineLvl w:val="6"/>
    </w:pPr>
    <w:rPr>
      <w:b/>
      <w:bCs/>
      <w:sz w:val="24"/>
    </w:rPr>
  </w:style>
  <w:style w:type="paragraph" w:styleId="10">
    <w:name w:val="heading 8"/>
    <w:basedOn w:val="1"/>
    <w:next w:val="1"/>
    <w:link w:val="77"/>
    <w:autoRedefine/>
    <w:qFormat/>
    <w:uiPriority w:val="0"/>
    <w:pPr>
      <w:keepNext/>
      <w:keepLines/>
      <w:numPr>
        <w:ilvl w:val="7"/>
        <w:numId w:val="1"/>
      </w:numPr>
      <w:spacing w:before="240" w:beforeLines="0" w:after="64" w:afterLines="0" w:line="320" w:lineRule="auto"/>
      <w:outlineLvl w:val="7"/>
    </w:pPr>
    <w:rPr>
      <w:rFonts w:ascii="Arial" w:hAnsi="Arial" w:eastAsia="黑体"/>
      <w:sz w:val="24"/>
    </w:rPr>
  </w:style>
  <w:style w:type="paragraph" w:styleId="11">
    <w:name w:val="heading 9"/>
    <w:basedOn w:val="1"/>
    <w:next w:val="1"/>
    <w:link w:val="78"/>
    <w:autoRedefine/>
    <w:qFormat/>
    <w:uiPriority w:val="0"/>
    <w:pPr>
      <w:keepNext/>
      <w:keepLines/>
      <w:numPr>
        <w:ilvl w:val="8"/>
        <w:numId w:val="1"/>
      </w:numPr>
      <w:spacing w:before="240" w:beforeLines="0" w:after="64" w:afterLines="0" w:line="320" w:lineRule="auto"/>
      <w:outlineLvl w:val="8"/>
    </w:pPr>
    <w:rPr>
      <w:rFonts w:ascii="Arial" w:hAnsi="Arial" w:eastAsia="黑体"/>
      <w:szCs w:val="21"/>
    </w:rPr>
  </w:style>
  <w:style w:type="character" w:default="1" w:styleId="62">
    <w:name w:val="Default Paragraph Font"/>
    <w:autoRedefine/>
    <w:semiHidden/>
    <w:qFormat/>
    <w:uiPriority w:val="0"/>
    <w:rPr>
      <w:rFonts w:ascii="Arial" w:hAnsi="Arial" w:eastAsia="黑体" w:cs="Arial"/>
      <w:snapToGrid w:val="0"/>
      <w:kern w:val="0"/>
      <w:szCs w:val="21"/>
    </w:rPr>
  </w:style>
  <w:style w:type="table" w:default="1" w:styleId="60">
    <w:name w:val="Normal Table"/>
    <w:autoRedefine/>
    <w:unhideWhenUsed/>
    <w:qFormat/>
    <w:uiPriority w:val="99"/>
    <w:tblPr>
      <w:tblCellMar>
        <w:top w:w="0" w:type="dxa"/>
        <w:left w:w="108" w:type="dxa"/>
        <w:bottom w:w="0" w:type="dxa"/>
        <w:right w:w="108" w:type="dxa"/>
      </w:tblCellMar>
    </w:tblPr>
  </w:style>
  <w:style w:type="paragraph" w:styleId="6">
    <w:name w:val="Body Text"/>
    <w:basedOn w:val="1"/>
    <w:link w:val="73"/>
    <w:autoRedefine/>
    <w:qFormat/>
    <w:uiPriority w:val="0"/>
    <w:pPr>
      <w:autoSpaceDE w:val="0"/>
      <w:autoSpaceDN w:val="0"/>
      <w:adjustRightInd w:val="0"/>
      <w:spacing w:line="360" w:lineRule="auto"/>
    </w:pPr>
    <w:rPr>
      <w:rFonts w:ascii="宋体" w:hAnsi="Arial" w:cs="Arial"/>
      <w:snapToGrid w:val="0"/>
      <w:sz w:val="24"/>
      <w:szCs w:val="21"/>
      <w:lang w:val="zh-CN"/>
    </w:rPr>
  </w:style>
  <w:style w:type="paragraph" w:styleId="12">
    <w:name w:val="toc 7"/>
    <w:basedOn w:val="1"/>
    <w:next w:val="1"/>
    <w:autoRedefine/>
    <w:qFormat/>
    <w:uiPriority w:val="0"/>
    <w:pPr>
      <w:ind w:left="2520" w:leftChars="1200"/>
    </w:pPr>
  </w:style>
  <w:style w:type="paragraph" w:styleId="13">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autoRedefine/>
    <w:unhideWhenUsed/>
    <w:qFormat/>
    <w:uiPriority w:val="99"/>
    <w:pPr>
      <w:widowControl/>
      <w:numPr>
        <w:ilvl w:val="0"/>
        <w:numId w:val="3"/>
      </w:numPr>
      <w:tabs>
        <w:tab w:val="left" w:pos="432"/>
        <w:tab w:val="clear" w:pos="1440"/>
      </w:tabs>
      <w:adjustRightInd/>
      <w:spacing w:before="40" w:after="160"/>
      <w:ind w:left="432" w:hanging="432"/>
      <w:contextualSpacing/>
      <w:jc w:val="left"/>
    </w:pPr>
    <w:rPr>
      <w:rFonts w:ascii="Cambria" w:hAnsi="Cambria" w:eastAsia="微软雅黑" w:cs="Times New Roman"/>
      <w:color w:val="595959"/>
      <w:kern w:val="20"/>
      <w:szCs w:val="20"/>
      <w:lang w:val="zh-CN"/>
    </w:rPr>
  </w:style>
  <w:style w:type="paragraph" w:styleId="15">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Normal Indent"/>
    <w:basedOn w:val="1"/>
    <w:link w:val="79"/>
    <w:autoRedefine/>
    <w:qFormat/>
    <w:uiPriority w:val="0"/>
    <w:pPr>
      <w:widowControl/>
      <w:adjustRightInd w:val="0"/>
      <w:snapToGrid w:val="0"/>
      <w:spacing w:line="480" w:lineRule="exact"/>
      <w:ind w:firstLine="567"/>
    </w:pPr>
    <w:rPr>
      <w:rFonts w:ascii="宋体"/>
      <w:snapToGrid w:val="0"/>
      <w:color w:val="000000"/>
      <w:kern w:val="28"/>
      <w:sz w:val="28"/>
      <w:szCs w:val="20"/>
    </w:rPr>
  </w:style>
  <w:style w:type="paragraph" w:styleId="17">
    <w:name w:val="caption"/>
    <w:basedOn w:val="1"/>
    <w:next w:val="1"/>
    <w:autoRedefine/>
    <w:qFormat/>
    <w:uiPriority w:val="0"/>
    <w:rPr>
      <w:b/>
      <w:sz w:val="28"/>
      <w:szCs w:val="20"/>
    </w:rPr>
  </w:style>
  <w:style w:type="paragraph" w:styleId="18">
    <w:name w:val="index 5"/>
    <w:basedOn w:val="1"/>
    <w:next w:val="1"/>
    <w:autoRedefine/>
    <w:qFormat/>
    <w:uiPriority w:val="0"/>
    <w:pPr>
      <w:adjustRightInd/>
      <w:ind w:left="800" w:leftChars="800" w:firstLine="200" w:firstLineChars="200"/>
    </w:pPr>
  </w:style>
  <w:style w:type="paragraph" w:styleId="19">
    <w:name w:val="Document Map"/>
    <w:basedOn w:val="1"/>
    <w:autoRedefine/>
    <w:semiHidden/>
    <w:qFormat/>
    <w:uiPriority w:val="0"/>
    <w:pPr>
      <w:shd w:val="clear" w:color="auto" w:fill="000080"/>
    </w:pPr>
  </w:style>
  <w:style w:type="paragraph" w:styleId="20">
    <w:name w:val="annotation text"/>
    <w:basedOn w:val="1"/>
    <w:link w:val="80"/>
    <w:autoRedefine/>
    <w:qFormat/>
    <w:uiPriority w:val="0"/>
    <w:pPr>
      <w:jc w:val="left"/>
    </w:pPr>
  </w:style>
  <w:style w:type="paragraph" w:styleId="21">
    <w:name w:val="Salutation"/>
    <w:basedOn w:val="1"/>
    <w:next w:val="1"/>
    <w:link w:val="81"/>
    <w:autoRedefine/>
    <w:qFormat/>
    <w:uiPriority w:val="0"/>
    <w:rPr>
      <w:rFonts w:ascii="仿宋_GB2312" w:eastAsia="仿宋_GB2312"/>
      <w:sz w:val="28"/>
      <w:szCs w:val="20"/>
    </w:rPr>
  </w:style>
  <w:style w:type="paragraph" w:styleId="22">
    <w:name w:val="Body Text 3"/>
    <w:basedOn w:val="1"/>
    <w:link w:val="82"/>
    <w:autoRedefine/>
    <w:qFormat/>
    <w:uiPriority w:val="0"/>
    <w:pPr>
      <w:jc w:val="center"/>
    </w:pPr>
    <w:rPr>
      <w:szCs w:val="20"/>
    </w:rPr>
  </w:style>
  <w:style w:type="paragraph" w:styleId="23">
    <w:name w:val="Body Text Indent"/>
    <w:basedOn w:val="1"/>
    <w:next w:val="1"/>
    <w:link w:val="83"/>
    <w:autoRedefine/>
    <w:qFormat/>
    <w:uiPriority w:val="0"/>
    <w:pPr>
      <w:spacing w:line="480" w:lineRule="exact"/>
      <w:ind w:firstLine="480" w:firstLineChars="200"/>
    </w:pPr>
    <w:rPr>
      <w:rFonts w:ascii="宋体" w:hAnsi="宋体"/>
      <w:sz w:val="24"/>
    </w:rPr>
  </w:style>
  <w:style w:type="paragraph" w:styleId="24">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5">
    <w:name w:val="List 2"/>
    <w:basedOn w:val="1"/>
    <w:autoRedefine/>
    <w:qFormat/>
    <w:uiPriority w:val="0"/>
    <w:pPr>
      <w:adjustRightInd/>
      <w:spacing w:line="360" w:lineRule="auto"/>
      <w:ind w:left="100" w:leftChars="200" w:hanging="200" w:hangingChars="200"/>
    </w:pPr>
    <w:rPr>
      <w:rFonts w:eastAsia="微软雅黑"/>
    </w:rPr>
  </w:style>
  <w:style w:type="paragraph" w:styleId="26">
    <w:name w:val="Block Text"/>
    <w:basedOn w:val="1"/>
    <w:autoRedefine/>
    <w:qFormat/>
    <w:uiPriority w:val="0"/>
    <w:pPr>
      <w:ind w:left="-359" w:leftChars="-171" w:rightChars="-244" w:firstLine="501" w:firstLineChars="239"/>
    </w:pPr>
    <w:rPr>
      <w:rFonts w:ascii="仿宋_GB2312" w:eastAsia="仿宋_GB2312"/>
      <w:sz w:val="30"/>
      <w:szCs w:val="20"/>
    </w:rPr>
  </w:style>
  <w:style w:type="paragraph" w:styleId="27">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28">
    <w:name w:val="HTML Address"/>
    <w:basedOn w:val="1"/>
    <w:link w:val="84"/>
    <w:autoRedefine/>
    <w:qFormat/>
    <w:uiPriority w:val="0"/>
    <w:pPr>
      <w:widowControl/>
      <w:adjustRightInd/>
      <w:ind w:firstLine="200" w:firstLineChars="200"/>
      <w:jc w:val="left"/>
    </w:pPr>
    <w:rPr>
      <w:rFonts w:ascii="宋体" w:hAnsi="宋体"/>
      <w:i/>
      <w:iCs/>
      <w:kern w:val="0"/>
      <w:sz w:val="24"/>
    </w:rPr>
  </w:style>
  <w:style w:type="paragraph" w:styleId="29">
    <w:name w:val="toc 5"/>
    <w:basedOn w:val="1"/>
    <w:next w:val="1"/>
    <w:autoRedefine/>
    <w:qFormat/>
    <w:uiPriority w:val="0"/>
    <w:pPr>
      <w:ind w:left="1680" w:leftChars="800"/>
    </w:pPr>
  </w:style>
  <w:style w:type="paragraph" w:styleId="30">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1">
    <w:name w:val="Plain Text"/>
    <w:basedOn w:val="1"/>
    <w:link w:val="85"/>
    <w:autoRedefine/>
    <w:qFormat/>
    <w:uiPriority w:val="0"/>
    <w:rPr>
      <w:rFonts w:ascii="宋体" w:hAnsi="Courier New" w:cs="Arial"/>
      <w:snapToGrid w:val="0"/>
      <w:szCs w:val="21"/>
    </w:rPr>
  </w:style>
  <w:style w:type="paragraph" w:styleId="32">
    <w:name w:val="List Number 4"/>
    <w:basedOn w:val="1"/>
    <w:autoRedefine/>
    <w:qFormat/>
    <w:uiPriority w:val="0"/>
    <w:pPr>
      <w:numPr>
        <w:ilvl w:val="0"/>
        <w:numId w:val="4"/>
      </w:numPr>
      <w:autoSpaceDE w:val="0"/>
      <w:autoSpaceDN w:val="0"/>
      <w:spacing w:line="360" w:lineRule="atLeast"/>
      <w:ind w:left="840" w:hanging="420"/>
    </w:pPr>
    <w:rPr>
      <w:kern w:val="0"/>
      <w:sz w:val="24"/>
    </w:rPr>
  </w:style>
  <w:style w:type="paragraph" w:styleId="33">
    <w:name w:val="toc 8"/>
    <w:basedOn w:val="1"/>
    <w:next w:val="1"/>
    <w:autoRedefine/>
    <w:qFormat/>
    <w:uiPriority w:val="0"/>
    <w:pPr>
      <w:ind w:left="2940" w:leftChars="1400"/>
    </w:pPr>
  </w:style>
  <w:style w:type="paragraph" w:styleId="34">
    <w:name w:val="Date"/>
    <w:basedOn w:val="1"/>
    <w:next w:val="1"/>
    <w:link w:val="86"/>
    <w:autoRedefine/>
    <w:qFormat/>
    <w:uiPriority w:val="0"/>
    <w:pPr>
      <w:ind w:left="100" w:leftChars="2500"/>
    </w:pPr>
    <w:rPr>
      <w:rFonts w:ascii="宋体"/>
      <w:sz w:val="24"/>
      <w:szCs w:val="21"/>
      <w:lang w:val="zh-CN"/>
    </w:rPr>
  </w:style>
  <w:style w:type="paragraph" w:styleId="35">
    <w:name w:val="Body Text Indent 2"/>
    <w:basedOn w:val="1"/>
    <w:link w:val="87"/>
    <w:autoRedefine/>
    <w:qFormat/>
    <w:uiPriority w:val="0"/>
    <w:pPr>
      <w:adjustRightInd w:val="0"/>
      <w:spacing w:line="360" w:lineRule="auto"/>
      <w:ind w:firstLine="601"/>
      <w:textAlignment w:val="baseline"/>
    </w:pPr>
    <w:rPr>
      <w:rFonts w:ascii="宋体"/>
      <w:kern w:val="0"/>
      <w:sz w:val="28"/>
      <w:szCs w:val="20"/>
    </w:rPr>
  </w:style>
  <w:style w:type="paragraph" w:styleId="36">
    <w:name w:val="Balloon Text"/>
    <w:basedOn w:val="1"/>
    <w:link w:val="88"/>
    <w:autoRedefine/>
    <w:semiHidden/>
    <w:qFormat/>
    <w:uiPriority w:val="0"/>
    <w:rPr>
      <w:sz w:val="18"/>
      <w:szCs w:val="18"/>
    </w:rPr>
  </w:style>
  <w:style w:type="paragraph" w:styleId="37">
    <w:name w:val="footer"/>
    <w:basedOn w:val="1"/>
    <w:autoRedefine/>
    <w:qFormat/>
    <w:uiPriority w:val="0"/>
    <w:pPr>
      <w:tabs>
        <w:tab w:val="center" w:pos="4153"/>
        <w:tab w:val="right" w:pos="8306"/>
      </w:tabs>
      <w:snapToGrid w:val="0"/>
      <w:jc w:val="left"/>
    </w:pPr>
    <w:rPr>
      <w:sz w:val="18"/>
      <w:szCs w:val="18"/>
    </w:rPr>
  </w:style>
  <w:style w:type="paragraph" w:styleId="3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9">
    <w:name w:val="Signature"/>
    <w:basedOn w:val="1"/>
    <w:link w:val="89"/>
    <w:autoRedefine/>
    <w:qFormat/>
    <w:uiPriority w:val="0"/>
    <w:pPr>
      <w:adjustRightInd w:val="0"/>
      <w:spacing w:after="600" w:afterLines="0" w:line="312" w:lineRule="atLeast"/>
      <w:jc w:val="center"/>
      <w:textAlignment w:val="baseline"/>
    </w:pPr>
    <w:rPr>
      <w:rFonts w:eastAsia="仿宋_GB2312"/>
      <w:kern w:val="0"/>
      <w:sz w:val="24"/>
      <w:szCs w:val="20"/>
    </w:rPr>
  </w:style>
  <w:style w:type="paragraph" w:styleId="40">
    <w:name w:val="toc 1"/>
    <w:basedOn w:val="1"/>
    <w:next w:val="1"/>
    <w:autoRedefine/>
    <w:qFormat/>
    <w:uiPriority w:val="0"/>
  </w:style>
  <w:style w:type="paragraph" w:styleId="41">
    <w:name w:val="toc 4"/>
    <w:basedOn w:val="1"/>
    <w:next w:val="1"/>
    <w:autoRedefine/>
    <w:qFormat/>
    <w:uiPriority w:val="0"/>
    <w:pPr>
      <w:ind w:left="1260" w:leftChars="600"/>
    </w:pPr>
  </w:style>
  <w:style w:type="paragraph" w:styleId="42">
    <w:name w:val="index heading"/>
    <w:basedOn w:val="1"/>
    <w:next w:val="43"/>
    <w:autoRedefine/>
    <w:qFormat/>
    <w:uiPriority w:val="0"/>
    <w:pPr>
      <w:adjustRightInd/>
      <w:ind w:firstLine="200" w:firstLineChars="200"/>
    </w:pPr>
  </w:style>
  <w:style w:type="paragraph" w:styleId="43">
    <w:name w:val="index 1"/>
    <w:basedOn w:val="1"/>
    <w:next w:val="1"/>
    <w:autoRedefine/>
    <w:qFormat/>
    <w:uiPriority w:val="0"/>
    <w:pPr>
      <w:adjustRightInd/>
      <w:spacing w:line="360" w:lineRule="auto"/>
      <w:ind w:firstLine="200" w:firstLineChars="200"/>
      <w:jc w:val="center"/>
    </w:pPr>
    <w:rPr>
      <w:sz w:val="24"/>
      <w:szCs w:val="20"/>
    </w:rPr>
  </w:style>
  <w:style w:type="paragraph" w:styleId="44">
    <w:name w:val="Subtitle"/>
    <w:link w:val="90"/>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5">
    <w:name w:val="List Number 5"/>
    <w:basedOn w:val="1"/>
    <w:autoRedefine/>
    <w:qFormat/>
    <w:uiPriority w:val="0"/>
    <w:pPr>
      <w:tabs>
        <w:tab w:val="left" w:pos="902"/>
      </w:tabs>
      <w:adjustRightInd/>
      <w:spacing w:line="400" w:lineRule="exact"/>
      <w:ind w:left="902" w:hanging="420"/>
    </w:pPr>
    <w:rPr>
      <w:sz w:val="24"/>
      <w:szCs w:val="20"/>
    </w:rPr>
  </w:style>
  <w:style w:type="paragraph" w:styleId="46">
    <w:name w:val="List"/>
    <w:basedOn w:val="1"/>
    <w:autoRedefine/>
    <w:qFormat/>
    <w:uiPriority w:val="0"/>
    <w:pPr>
      <w:ind w:left="200" w:hanging="200" w:hangingChars="200"/>
    </w:pPr>
  </w:style>
  <w:style w:type="paragraph" w:styleId="47">
    <w:name w:val="footnote text"/>
    <w:basedOn w:val="16"/>
    <w:link w:val="91"/>
    <w:autoRedefine/>
    <w:qFormat/>
    <w:uiPriority w:val="0"/>
    <w:pPr>
      <w:adjustRightInd/>
      <w:snapToGrid/>
      <w:spacing w:before="60" w:beforeLines="0" w:after="60" w:afterLines="0" w:line="300" w:lineRule="exact"/>
      <w:ind w:firstLine="0"/>
    </w:pPr>
    <w:rPr>
      <w:rFonts w:ascii="Times New Roman"/>
      <w:snapToGrid/>
      <w:color w:val="0000FF"/>
      <w:kern w:val="0"/>
      <w:sz w:val="21"/>
    </w:rPr>
  </w:style>
  <w:style w:type="paragraph" w:styleId="48">
    <w:name w:val="toc 6"/>
    <w:basedOn w:val="1"/>
    <w:next w:val="1"/>
    <w:autoRedefine/>
    <w:qFormat/>
    <w:uiPriority w:val="0"/>
    <w:pPr>
      <w:ind w:left="2100" w:leftChars="1000"/>
    </w:pPr>
  </w:style>
  <w:style w:type="paragraph" w:styleId="49">
    <w:name w:val="List 5"/>
    <w:basedOn w:val="1"/>
    <w:autoRedefine/>
    <w:qFormat/>
    <w:uiPriority w:val="0"/>
    <w:pPr>
      <w:adjustRightInd/>
      <w:ind w:left="100" w:leftChars="800" w:hanging="200" w:hangingChars="200"/>
    </w:pPr>
  </w:style>
  <w:style w:type="paragraph" w:styleId="50">
    <w:name w:val="Body Text Indent 3"/>
    <w:basedOn w:val="1"/>
    <w:link w:val="92"/>
    <w:autoRedefine/>
    <w:qFormat/>
    <w:uiPriority w:val="0"/>
    <w:pPr>
      <w:spacing w:line="360" w:lineRule="auto"/>
      <w:ind w:firstLine="420"/>
    </w:pPr>
    <w:rPr>
      <w:sz w:val="24"/>
      <w:szCs w:val="20"/>
    </w:rPr>
  </w:style>
  <w:style w:type="paragraph" w:styleId="51">
    <w:name w:val="toc 2"/>
    <w:basedOn w:val="1"/>
    <w:next w:val="1"/>
    <w:autoRedefine/>
    <w:qFormat/>
    <w:uiPriority w:val="0"/>
    <w:pPr>
      <w:ind w:left="420" w:leftChars="200"/>
    </w:pPr>
  </w:style>
  <w:style w:type="paragraph" w:styleId="52">
    <w:name w:val="toc 9"/>
    <w:basedOn w:val="1"/>
    <w:next w:val="1"/>
    <w:autoRedefine/>
    <w:qFormat/>
    <w:uiPriority w:val="0"/>
    <w:pPr>
      <w:ind w:left="3360" w:leftChars="1600"/>
    </w:pPr>
  </w:style>
  <w:style w:type="paragraph" w:styleId="53">
    <w:name w:val="Body Text 2"/>
    <w:basedOn w:val="1"/>
    <w:autoRedefine/>
    <w:qFormat/>
    <w:uiPriority w:val="0"/>
    <w:pPr>
      <w:spacing w:after="120" w:afterLines="0" w:line="480" w:lineRule="auto"/>
    </w:pPr>
  </w:style>
  <w:style w:type="paragraph" w:styleId="54">
    <w:name w:val="HTML Preformatted"/>
    <w:basedOn w:val="1"/>
    <w:link w:val="93"/>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5">
    <w:name w:val="Normal (Web)"/>
    <w:basedOn w:val="1"/>
    <w:autoRedefine/>
    <w:qFormat/>
    <w:uiPriority w:val="99"/>
    <w:pPr>
      <w:widowControl/>
      <w:spacing w:before="100" w:beforeLines="0" w:beforeAutospacing="1" w:after="100" w:afterLines="0" w:afterAutospacing="1"/>
      <w:jc w:val="left"/>
    </w:pPr>
    <w:rPr>
      <w:rFonts w:ascii="宋体" w:hAnsi="宋体"/>
      <w:kern w:val="0"/>
      <w:sz w:val="24"/>
    </w:rPr>
  </w:style>
  <w:style w:type="paragraph" w:styleId="56">
    <w:name w:val="Title"/>
    <w:basedOn w:val="1"/>
    <w:autoRedefine/>
    <w:qFormat/>
    <w:uiPriority w:val="0"/>
    <w:pPr>
      <w:widowControl/>
      <w:overflowPunct w:val="0"/>
      <w:autoSpaceDE w:val="0"/>
      <w:autoSpaceDN w:val="0"/>
      <w:adjustRightInd w:val="0"/>
      <w:jc w:val="center"/>
      <w:textAlignment w:val="baseline"/>
    </w:pPr>
    <w:rPr>
      <w:b/>
      <w:kern w:val="0"/>
      <w:sz w:val="24"/>
      <w:szCs w:val="20"/>
      <w:lang w:val="en-GB"/>
    </w:rPr>
  </w:style>
  <w:style w:type="paragraph" w:styleId="57">
    <w:name w:val="annotation subject"/>
    <w:basedOn w:val="20"/>
    <w:next w:val="20"/>
    <w:autoRedefine/>
    <w:semiHidden/>
    <w:qFormat/>
    <w:uiPriority w:val="0"/>
    <w:rPr>
      <w:b/>
      <w:bCs/>
    </w:rPr>
  </w:style>
  <w:style w:type="paragraph" w:styleId="58">
    <w:name w:val="Body Text First Indent"/>
    <w:basedOn w:val="6"/>
    <w:link w:val="94"/>
    <w:autoRedefine/>
    <w:qFormat/>
    <w:uiPriority w:val="0"/>
    <w:pPr>
      <w:ind w:firstLine="420"/>
    </w:pPr>
    <w:rPr>
      <w:rFonts w:hAnsi="Times New Roman" w:cs="Times New Roman"/>
      <w:snapToGrid/>
      <w:szCs w:val="20"/>
    </w:rPr>
  </w:style>
  <w:style w:type="paragraph" w:styleId="59">
    <w:name w:val="Body Text First Indent 2"/>
    <w:basedOn w:val="23"/>
    <w:next w:val="1"/>
    <w:link w:val="95"/>
    <w:autoRedefine/>
    <w:qFormat/>
    <w:uiPriority w:val="0"/>
    <w:pPr>
      <w:adjustRightInd/>
      <w:spacing w:after="120" w:afterLines="0" w:line="240" w:lineRule="auto"/>
      <w:ind w:left="420" w:leftChars="200" w:firstLine="210"/>
    </w:pPr>
    <w:rPr>
      <w:sz w:val="21"/>
    </w:rPr>
  </w:style>
  <w:style w:type="table" w:styleId="61">
    <w:name w:val="Table Grid"/>
    <w:basedOn w:val="6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autoRedefine/>
    <w:qFormat/>
    <w:uiPriority w:val="0"/>
    <w:rPr>
      <w:b/>
      <w:bCs/>
    </w:rPr>
  </w:style>
  <w:style w:type="character" w:styleId="64">
    <w:name w:val="page number"/>
    <w:basedOn w:val="62"/>
    <w:autoRedefine/>
    <w:qFormat/>
    <w:uiPriority w:val="0"/>
  </w:style>
  <w:style w:type="character" w:styleId="65">
    <w:name w:val="FollowedHyperlink"/>
    <w:autoRedefine/>
    <w:qFormat/>
    <w:uiPriority w:val="0"/>
    <w:rPr>
      <w:rFonts w:ascii="Arial" w:hAnsi="Arial" w:eastAsia="黑体" w:cs="Arial"/>
      <w:snapToGrid w:val="0"/>
      <w:color w:val="000000"/>
      <w:kern w:val="0"/>
      <w:sz w:val="18"/>
      <w:szCs w:val="18"/>
      <w:u w:val="none"/>
    </w:rPr>
  </w:style>
  <w:style w:type="character" w:styleId="66">
    <w:name w:val="Emphasis"/>
    <w:autoRedefine/>
    <w:qFormat/>
    <w:uiPriority w:val="0"/>
    <w:rPr>
      <w:color w:val="CC0033"/>
    </w:rPr>
  </w:style>
  <w:style w:type="character" w:styleId="67">
    <w:name w:val="line number"/>
    <w:basedOn w:val="62"/>
    <w:autoRedefine/>
    <w:qFormat/>
    <w:uiPriority w:val="0"/>
  </w:style>
  <w:style w:type="character" w:styleId="68">
    <w:name w:val="Hyperlink"/>
    <w:autoRedefine/>
    <w:qFormat/>
    <w:uiPriority w:val="0"/>
    <w:rPr>
      <w:rFonts w:ascii="Arial" w:hAnsi="Arial" w:eastAsia="黑体" w:cs="Arial"/>
      <w:snapToGrid w:val="0"/>
      <w:color w:val="000000"/>
      <w:kern w:val="0"/>
      <w:sz w:val="18"/>
      <w:szCs w:val="18"/>
      <w:u w:val="none"/>
    </w:rPr>
  </w:style>
  <w:style w:type="character" w:styleId="69">
    <w:name w:val="HTML Code"/>
    <w:autoRedefine/>
    <w:qFormat/>
    <w:uiPriority w:val="0"/>
    <w:rPr>
      <w:rFonts w:ascii="黑体" w:hAnsi="Courier New" w:eastAsia="黑体" w:cs="楷体_GB2312"/>
      <w:sz w:val="20"/>
      <w:szCs w:val="20"/>
    </w:rPr>
  </w:style>
  <w:style w:type="character" w:styleId="70">
    <w:name w:val="annotation reference"/>
    <w:autoRedefine/>
    <w:qFormat/>
    <w:uiPriority w:val="99"/>
    <w:rPr>
      <w:sz w:val="21"/>
      <w:szCs w:val="21"/>
    </w:rPr>
  </w:style>
  <w:style w:type="character" w:customStyle="1" w:styleId="71">
    <w:name w:val="标题 1 Char"/>
    <w:link w:val="2"/>
    <w:autoRedefine/>
    <w:qFormat/>
    <w:uiPriority w:val="0"/>
    <w:rPr>
      <w:b/>
      <w:bCs/>
      <w:kern w:val="44"/>
      <w:sz w:val="44"/>
      <w:szCs w:val="44"/>
    </w:rPr>
  </w:style>
  <w:style w:type="character" w:customStyle="1" w:styleId="72">
    <w:name w:val="标题 4 Char"/>
    <w:link w:val="5"/>
    <w:autoRedefine/>
    <w:qFormat/>
    <w:uiPriority w:val="0"/>
    <w:rPr>
      <w:rFonts w:ascii="Arial" w:hAnsi="Arial" w:eastAsia="黑体"/>
      <w:b/>
      <w:bCs/>
      <w:kern w:val="2"/>
      <w:sz w:val="28"/>
      <w:szCs w:val="28"/>
      <w:lang w:val="zh-CN"/>
    </w:rPr>
  </w:style>
  <w:style w:type="character" w:customStyle="1" w:styleId="73">
    <w:name w:val="正文文本 Char1"/>
    <w:link w:val="6"/>
    <w:autoRedefine/>
    <w:semiHidden/>
    <w:qFormat/>
    <w:uiPriority w:val="0"/>
    <w:rPr>
      <w:rFonts w:ascii="宋体" w:hAnsi="Arial" w:eastAsia="宋体" w:cs="Arial"/>
      <w:snapToGrid w:val="0"/>
      <w:kern w:val="2"/>
      <w:sz w:val="24"/>
      <w:szCs w:val="21"/>
      <w:lang w:val="zh-CN" w:eastAsia="zh-CN" w:bidi="ar-SA"/>
    </w:rPr>
  </w:style>
  <w:style w:type="character" w:customStyle="1" w:styleId="74">
    <w:name w:val="标题 5 Char"/>
    <w:link w:val="7"/>
    <w:autoRedefine/>
    <w:qFormat/>
    <w:uiPriority w:val="0"/>
    <w:rPr>
      <w:b/>
      <w:bCs/>
      <w:kern w:val="2"/>
      <w:sz w:val="28"/>
      <w:szCs w:val="28"/>
    </w:rPr>
  </w:style>
  <w:style w:type="character" w:customStyle="1" w:styleId="75">
    <w:name w:val="标题 6 Char"/>
    <w:link w:val="8"/>
    <w:autoRedefine/>
    <w:qFormat/>
    <w:uiPriority w:val="0"/>
    <w:rPr>
      <w:rFonts w:ascii="Arial" w:hAnsi="Arial" w:eastAsia="黑体"/>
      <w:b/>
      <w:bCs/>
      <w:kern w:val="2"/>
      <w:sz w:val="24"/>
      <w:szCs w:val="24"/>
    </w:rPr>
  </w:style>
  <w:style w:type="character" w:customStyle="1" w:styleId="76">
    <w:name w:val="标题 7 Char"/>
    <w:link w:val="9"/>
    <w:autoRedefine/>
    <w:qFormat/>
    <w:uiPriority w:val="0"/>
    <w:rPr>
      <w:b/>
      <w:bCs/>
      <w:kern w:val="2"/>
      <w:sz w:val="24"/>
      <w:szCs w:val="24"/>
    </w:rPr>
  </w:style>
  <w:style w:type="character" w:customStyle="1" w:styleId="77">
    <w:name w:val="标题 8 Char"/>
    <w:link w:val="10"/>
    <w:autoRedefine/>
    <w:qFormat/>
    <w:uiPriority w:val="0"/>
    <w:rPr>
      <w:rFonts w:ascii="Arial" w:hAnsi="Arial" w:eastAsia="黑体"/>
      <w:kern w:val="2"/>
      <w:sz w:val="24"/>
      <w:szCs w:val="24"/>
    </w:rPr>
  </w:style>
  <w:style w:type="character" w:customStyle="1" w:styleId="78">
    <w:name w:val="标题 9 Char"/>
    <w:link w:val="11"/>
    <w:autoRedefine/>
    <w:qFormat/>
    <w:uiPriority w:val="0"/>
    <w:rPr>
      <w:rFonts w:ascii="Arial" w:hAnsi="Arial" w:eastAsia="黑体"/>
      <w:kern w:val="2"/>
      <w:sz w:val="21"/>
      <w:szCs w:val="21"/>
    </w:rPr>
  </w:style>
  <w:style w:type="character" w:customStyle="1" w:styleId="79">
    <w:name w:val="正文缩进 Char2"/>
    <w:link w:val="16"/>
    <w:autoRedefine/>
    <w:qFormat/>
    <w:uiPriority w:val="0"/>
    <w:rPr>
      <w:rFonts w:ascii="宋体" w:eastAsia="宋体"/>
      <w:snapToGrid w:val="0"/>
      <w:color w:val="000000"/>
      <w:kern w:val="28"/>
      <w:sz w:val="28"/>
      <w:lang w:val="en-US" w:eastAsia="zh-CN" w:bidi="ar-SA"/>
    </w:rPr>
  </w:style>
  <w:style w:type="character" w:customStyle="1" w:styleId="80">
    <w:name w:val="批注文字 Char1"/>
    <w:link w:val="20"/>
    <w:autoRedefine/>
    <w:qFormat/>
    <w:uiPriority w:val="0"/>
    <w:rPr>
      <w:kern w:val="2"/>
      <w:sz w:val="21"/>
      <w:szCs w:val="24"/>
    </w:rPr>
  </w:style>
  <w:style w:type="character" w:customStyle="1" w:styleId="81">
    <w:name w:val="称呼 Char"/>
    <w:link w:val="21"/>
    <w:autoRedefine/>
    <w:qFormat/>
    <w:uiPriority w:val="0"/>
    <w:rPr>
      <w:rFonts w:ascii="仿宋_GB2312" w:eastAsia="仿宋_GB2312"/>
      <w:kern w:val="2"/>
      <w:sz w:val="28"/>
    </w:rPr>
  </w:style>
  <w:style w:type="character" w:customStyle="1" w:styleId="82">
    <w:name w:val="正文文本 3 Char"/>
    <w:link w:val="22"/>
    <w:autoRedefine/>
    <w:qFormat/>
    <w:uiPriority w:val="0"/>
    <w:rPr>
      <w:kern w:val="2"/>
      <w:sz w:val="21"/>
    </w:rPr>
  </w:style>
  <w:style w:type="character" w:customStyle="1" w:styleId="83">
    <w:name w:val="正文文本缩进 Char1"/>
    <w:link w:val="23"/>
    <w:autoRedefine/>
    <w:qFormat/>
    <w:uiPriority w:val="0"/>
    <w:rPr>
      <w:rFonts w:ascii="宋体" w:hAnsi="宋体"/>
      <w:kern w:val="2"/>
      <w:sz w:val="24"/>
      <w:szCs w:val="24"/>
    </w:rPr>
  </w:style>
  <w:style w:type="character" w:customStyle="1" w:styleId="84">
    <w:name w:val="HTML 地址 Char"/>
    <w:link w:val="28"/>
    <w:autoRedefine/>
    <w:qFormat/>
    <w:uiPriority w:val="0"/>
    <w:rPr>
      <w:rFonts w:ascii="宋体" w:hAnsi="宋体"/>
      <w:i/>
      <w:iCs/>
      <w:sz w:val="24"/>
      <w:szCs w:val="24"/>
    </w:rPr>
  </w:style>
  <w:style w:type="character" w:customStyle="1" w:styleId="85">
    <w:name w:val="纯文本 Char2"/>
    <w:link w:val="31"/>
    <w:autoRedefine/>
    <w:qFormat/>
    <w:uiPriority w:val="0"/>
    <w:rPr>
      <w:rFonts w:ascii="宋体" w:hAnsi="Courier New" w:eastAsia="宋体" w:cs="Arial"/>
      <w:snapToGrid w:val="0"/>
      <w:kern w:val="2"/>
      <w:sz w:val="21"/>
      <w:szCs w:val="21"/>
      <w:lang w:val="en-US" w:eastAsia="zh-CN" w:bidi="ar-SA"/>
    </w:rPr>
  </w:style>
  <w:style w:type="character" w:customStyle="1" w:styleId="86">
    <w:name w:val="日期 Char"/>
    <w:link w:val="34"/>
    <w:autoRedefine/>
    <w:qFormat/>
    <w:uiPriority w:val="0"/>
    <w:rPr>
      <w:rFonts w:ascii="宋体"/>
      <w:kern w:val="2"/>
      <w:sz w:val="24"/>
      <w:szCs w:val="21"/>
      <w:lang w:val="zh-CN"/>
    </w:rPr>
  </w:style>
  <w:style w:type="character" w:customStyle="1" w:styleId="87">
    <w:name w:val="正文文本缩进 2 Char"/>
    <w:link w:val="35"/>
    <w:autoRedefine/>
    <w:qFormat/>
    <w:uiPriority w:val="0"/>
    <w:rPr>
      <w:rFonts w:ascii="宋体"/>
      <w:sz w:val="28"/>
    </w:rPr>
  </w:style>
  <w:style w:type="character" w:customStyle="1" w:styleId="88">
    <w:name w:val="批注框文本 Char"/>
    <w:link w:val="36"/>
    <w:autoRedefine/>
    <w:semiHidden/>
    <w:qFormat/>
    <w:uiPriority w:val="0"/>
    <w:rPr>
      <w:kern w:val="2"/>
      <w:sz w:val="18"/>
      <w:szCs w:val="18"/>
    </w:rPr>
  </w:style>
  <w:style w:type="character" w:customStyle="1" w:styleId="89">
    <w:name w:val="签名 Char"/>
    <w:link w:val="39"/>
    <w:autoRedefine/>
    <w:qFormat/>
    <w:uiPriority w:val="0"/>
    <w:rPr>
      <w:rFonts w:eastAsia="仿宋_GB2312"/>
      <w:sz w:val="24"/>
    </w:rPr>
  </w:style>
  <w:style w:type="character" w:customStyle="1" w:styleId="90">
    <w:name w:val="副标题 Char"/>
    <w:link w:val="44"/>
    <w:autoRedefine/>
    <w:qFormat/>
    <w:uiPriority w:val="0"/>
    <w:rPr>
      <w:rFonts w:ascii="Arial" w:hAnsi="Arial" w:eastAsia="隶书"/>
      <w:b/>
      <w:bCs/>
      <w:kern w:val="28"/>
      <w:sz w:val="44"/>
      <w:szCs w:val="32"/>
      <w:lang w:val="en-US" w:eastAsia="zh-CN" w:bidi="ar-SA"/>
    </w:rPr>
  </w:style>
  <w:style w:type="character" w:customStyle="1" w:styleId="91">
    <w:name w:val="脚注文本 Char"/>
    <w:link w:val="47"/>
    <w:autoRedefine/>
    <w:qFormat/>
    <w:uiPriority w:val="0"/>
    <w:rPr>
      <w:color w:val="0000FF"/>
      <w:sz w:val="21"/>
    </w:rPr>
  </w:style>
  <w:style w:type="character" w:customStyle="1" w:styleId="92">
    <w:name w:val="正文文本缩进 3 Char"/>
    <w:link w:val="50"/>
    <w:autoRedefine/>
    <w:qFormat/>
    <w:uiPriority w:val="0"/>
    <w:rPr>
      <w:kern w:val="2"/>
      <w:sz w:val="24"/>
    </w:rPr>
  </w:style>
  <w:style w:type="character" w:customStyle="1" w:styleId="93">
    <w:name w:val="HTML 预设格式 Char"/>
    <w:link w:val="54"/>
    <w:autoRedefine/>
    <w:qFormat/>
    <w:uiPriority w:val="0"/>
    <w:rPr>
      <w:rFonts w:ascii="黑体" w:hAnsi="Courier New" w:eastAsia="黑体"/>
    </w:rPr>
  </w:style>
  <w:style w:type="character" w:customStyle="1" w:styleId="94">
    <w:name w:val="正文首行缩进 Char"/>
    <w:link w:val="58"/>
    <w:autoRedefine/>
    <w:qFormat/>
    <w:uiPriority w:val="0"/>
    <w:rPr>
      <w:rFonts w:ascii="宋体"/>
      <w:kern w:val="2"/>
      <w:sz w:val="24"/>
      <w:lang w:val="zh-CN"/>
    </w:rPr>
  </w:style>
  <w:style w:type="character" w:customStyle="1" w:styleId="95">
    <w:name w:val="正文首行缩进 2 Char"/>
    <w:link w:val="59"/>
    <w:autoRedefine/>
    <w:qFormat/>
    <w:uiPriority w:val="0"/>
    <w:rPr>
      <w:rFonts w:ascii="宋体" w:hAnsi="宋体"/>
      <w:kern w:val="2"/>
      <w:sz w:val="21"/>
      <w:szCs w:val="24"/>
    </w:rPr>
  </w:style>
  <w:style w:type="paragraph" w:customStyle="1" w:styleId="96">
    <w:name w:val="段"/>
    <w:next w:val="1"/>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97">
    <w:name w:val="标题 1 Char Char"/>
    <w:autoRedefine/>
    <w:qFormat/>
    <w:uiPriority w:val="0"/>
    <w:rPr>
      <w:rFonts w:hint="eastAsia" w:ascii="宋体" w:hAnsi="宋体" w:eastAsia="宋体"/>
      <w:b/>
      <w:spacing w:val="-2"/>
      <w:sz w:val="24"/>
      <w:lang w:val="en-US" w:eastAsia="zh-CN" w:bidi="ar-SA"/>
    </w:rPr>
  </w:style>
  <w:style w:type="character" w:customStyle="1" w:styleId="98">
    <w:name w:val="普通文字 Char Char1"/>
    <w:autoRedefine/>
    <w:qFormat/>
    <w:uiPriority w:val="0"/>
    <w:rPr>
      <w:rFonts w:ascii="宋体" w:hAnsi="Courier New"/>
      <w:kern w:val="2"/>
      <w:sz w:val="21"/>
    </w:rPr>
  </w:style>
  <w:style w:type="character" w:customStyle="1" w:styleId="99">
    <w:name w:val="页眉 Char1"/>
    <w:autoRedefine/>
    <w:qFormat/>
    <w:uiPriority w:val="0"/>
    <w:rPr>
      <w:rFonts w:eastAsia="宋体"/>
      <w:kern w:val="2"/>
      <w:sz w:val="18"/>
      <w:szCs w:val="18"/>
      <w:lang w:val="en-US" w:eastAsia="zh-CN" w:bidi="ar-SA"/>
    </w:rPr>
  </w:style>
  <w:style w:type="character" w:customStyle="1" w:styleId="100">
    <w:name w:val="font21"/>
    <w:basedOn w:val="62"/>
    <w:autoRedefine/>
    <w:qFormat/>
    <w:uiPriority w:val="0"/>
    <w:rPr>
      <w:rFonts w:hint="eastAsia" w:ascii="宋体" w:hAnsi="宋体" w:eastAsia="宋体"/>
      <w:kern w:val="2"/>
      <w:sz w:val="28"/>
      <w:szCs w:val="28"/>
      <w:lang w:val="en-US" w:eastAsia="zh-CN" w:bidi="ar-SA"/>
    </w:rPr>
  </w:style>
  <w:style w:type="character" w:customStyle="1" w:styleId="101">
    <w:name w:val="冯广丽 Char"/>
    <w:link w:val="102"/>
    <w:autoRedefine/>
    <w:qFormat/>
    <w:uiPriority w:val="0"/>
    <w:rPr>
      <w:rFonts w:ascii="宋体" w:hAnsi="宋体"/>
      <w:kern w:val="2"/>
      <w:sz w:val="24"/>
      <w:szCs w:val="22"/>
    </w:rPr>
  </w:style>
  <w:style w:type="paragraph" w:customStyle="1" w:styleId="102">
    <w:name w:val="冯广丽"/>
    <w:basedOn w:val="1"/>
    <w:link w:val="101"/>
    <w:autoRedefine/>
    <w:qFormat/>
    <w:uiPriority w:val="0"/>
    <w:pPr>
      <w:adjustRightInd/>
      <w:spacing w:line="360" w:lineRule="auto"/>
      <w:ind w:firstLine="480" w:firstLineChars="200"/>
    </w:pPr>
    <w:rPr>
      <w:rFonts w:ascii="宋体" w:hAnsi="宋体"/>
      <w:sz w:val="24"/>
      <w:szCs w:val="22"/>
    </w:rPr>
  </w:style>
  <w:style w:type="character" w:customStyle="1" w:styleId="103">
    <w:name w:val="b11_01b Char"/>
    <w:link w:val="104"/>
    <w:autoRedefine/>
    <w:qFormat/>
    <w:uiPriority w:val="0"/>
    <w:rPr>
      <w:rFonts w:ascii="Verdana" w:hAnsi="Verdana"/>
      <w:b/>
      <w:bCs/>
      <w:color w:val="4A82CA"/>
      <w:sz w:val="17"/>
      <w:szCs w:val="17"/>
    </w:rPr>
  </w:style>
  <w:style w:type="paragraph" w:customStyle="1" w:styleId="104">
    <w:name w:val="b11_01b"/>
    <w:basedOn w:val="1"/>
    <w:next w:val="1"/>
    <w:link w:val="103"/>
    <w:autoRedefine/>
    <w:qFormat/>
    <w:uiPriority w:val="0"/>
    <w:pPr>
      <w:widowControl/>
      <w:adjustRightInd/>
      <w:spacing w:before="100" w:beforeLines="0" w:beforeAutospacing="1" w:after="100" w:afterLines="0" w:afterAutospacing="1" w:line="384" w:lineRule="auto"/>
      <w:jc w:val="left"/>
    </w:pPr>
    <w:rPr>
      <w:rFonts w:ascii="Verdana" w:hAnsi="Verdana"/>
      <w:b/>
      <w:bCs/>
      <w:color w:val="4A82CA"/>
      <w:kern w:val="0"/>
      <w:sz w:val="17"/>
      <w:szCs w:val="17"/>
    </w:rPr>
  </w:style>
  <w:style w:type="character" w:customStyle="1" w:styleId="105">
    <w:name w:val=" Char Char9"/>
    <w:autoRedefine/>
    <w:qFormat/>
    <w:uiPriority w:val="0"/>
    <w:rPr>
      <w:rFonts w:eastAsia="宋体"/>
      <w:kern w:val="2"/>
      <w:sz w:val="18"/>
      <w:szCs w:val="18"/>
      <w:lang w:val="en-US" w:eastAsia="zh-CN" w:bidi="ar-SA"/>
    </w:rPr>
  </w:style>
  <w:style w:type="character" w:customStyle="1" w:styleId="106">
    <w:name w:val="普通文字 Char1 Char"/>
    <w:autoRedefine/>
    <w:qFormat/>
    <w:uiPriority w:val="0"/>
    <w:rPr>
      <w:rFonts w:ascii="宋体" w:hAnsi="Courier New" w:eastAsia="宋体"/>
      <w:kern w:val="2"/>
      <w:sz w:val="21"/>
      <w:szCs w:val="24"/>
      <w:lang w:val="en-US" w:eastAsia="zh-CN" w:bidi="ar-SA"/>
    </w:rPr>
  </w:style>
  <w:style w:type="character" w:customStyle="1" w:styleId="107">
    <w:name w:val="font12gray1"/>
    <w:autoRedefine/>
    <w:qFormat/>
    <w:uiPriority w:val="0"/>
    <w:rPr>
      <w:rFonts w:ascii="仿宋_GB2312" w:eastAsia="微软雅黑"/>
      <w:b/>
      <w:spacing w:val="300"/>
      <w:kern w:val="2"/>
      <w:sz w:val="18"/>
      <w:szCs w:val="18"/>
      <w:lang w:val="en-US" w:eastAsia="zh-CN" w:bidi="ar-SA"/>
    </w:rPr>
  </w:style>
  <w:style w:type="character" w:customStyle="1" w:styleId="108">
    <w:name w:val="large1"/>
    <w:autoRedefine/>
    <w:qFormat/>
    <w:uiPriority w:val="0"/>
    <w:rPr>
      <w:rFonts w:hint="eastAsia" w:ascii="宋体" w:hAnsi="宋体" w:eastAsia="宋体"/>
      <w:sz w:val="21"/>
      <w:szCs w:val="21"/>
    </w:rPr>
  </w:style>
  <w:style w:type="character" w:customStyle="1" w:styleId="109">
    <w:name w:val="标题4-dyf Char"/>
    <w:link w:val="110"/>
    <w:autoRedefine/>
    <w:qFormat/>
    <w:uiPriority w:val="0"/>
    <w:rPr>
      <w:rFonts w:ascii="Cambria" w:hAnsi="Cambria"/>
      <w:b/>
      <w:bCs/>
      <w:color w:val="000000"/>
      <w:kern w:val="2"/>
      <w:sz w:val="21"/>
      <w:szCs w:val="21"/>
    </w:rPr>
  </w:style>
  <w:style w:type="paragraph" w:customStyle="1" w:styleId="110">
    <w:name w:val="标题4-dyf"/>
    <w:basedOn w:val="5"/>
    <w:link w:val="109"/>
    <w:autoRedefine/>
    <w:qFormat/>
    <w:uiPriority w:val="0"/>
    <w:pPr>
      <w:numPr>
        <w:ilvl w:val="3"/>
        <w:numId w:val="0"/>
      </w:num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111">
    <w:name w:val="Document Map Char"/>
    <w:autoRedefine/>
    <w:semiHidden/>
    <w:qFormat/>
    <w:locked/>
    <w:uiPriority w:val="0"/>
    <w:rPr>
      <w:rFonts w:eastAsia="宋体"/>
      <w:kern w:val="2"/>
      <w:sz w:val="21"/>
      <w:szCs w:val="24"/>
      <w:lang w:val="en-US" w:eastAsia="zh-CN" w:bidi="ar-SA"/>
    </w:rPr>
  </w:style>
  <w:style w:type="character" w:customStyle="1" w:styleId="112">
    <w:name w:val="插图说明 Char"/>
    <w:autoRedefine/>
    <w:qFormat/>
    <w:uiPriority w:val="0"/>
    <w:rPr>
      <w:rFonts w:eastAsia="黑体"/>
      <w:sz w:val="24"/>
      <w:lang w:val="en-US" w:eastAsia="zh-CN"/>
    </w:rPr>
  </w:style>
  <w:style w:type="character" w:customStyle="1" w:styleId="113">
    <w:name w:val="style91"/>
    <w:autoRedefine/>
    <w:qFormat/>
    <w:uiPriority w:val="0"/>
    <w:rPr>
      <w:color w:val="333333"/>
    </w:rPr>
  </w:style>
  <w:style w:type="character" w:customStyle="1" w:styleId="114">
    <w:name w:val="blue1"/>
    <w:basedOn w:val="62"/>
    <w:autoRedefine/>
    <w:qFormat/>
    <w:uiPriority w:val="0"/>
  </w:style>
  <w:style w:type="character" w:customStyle="1" w:styleId="115">
    <w:name w:val="Heading 7 Char"/>
    <w:autoRedefine/>
    <w:qFormat/>
    <w:locked/>
    <w:uiPriority w:val="0"/>
    <w:rPr>
      <w:rFonts w:ascii="宋体" w:hAnsi="宋体" w:eastAsia="宋体"/>
      <w:b/>
      <w:bCs/>
      <w:kern w:val="2"/>
      <w:sz w:val="24"/>
      <w:szCs w:val="24"/>
      <w:lang w:val="en-US" w:eastAsia="zh-CN" w:bidi="ar-SA"/>
    </w:rPr>
  </w:style>
  <w:style w:type="character" w:customStyle="1" w:styleId="116">
    <w:name w:val=" Char Char5"/>
    <w:autoRedefine/>
    <w:qFormat/>
    <w:uiPriority w:val="0"/>
    <w:rPr>
      <w:rFonts w:ascii="宋体" w:hAnsi="Courier New" w:eastAsia="宋体"/>
      <w:kern w:val="2"/>
      <w:sz w:val="21"/>
      <w:lang w:val="en-US" w:eastAsia="zh-CN"/>
    </w:rPr>
  </w:style>
  <w:style w:type="character" w:customStyle="1" w:styleId="117">
    <w:name w:val=" Char Char2"/>
    <w:autoRedefine/>
    <w:qFormat/>
    <w:uiPriority w:val="0"/>
    <w:rPr>
      <w:rFonts w:eastAsia="宋体"/>
      <w:b/>
      <w:bCs/>
      <w:kern w:val="2"/>
      <w:sz w:val="21"/>
      <w:szCs w:val="24"/>
      <w:lang w:val="en-US" w:eastAsia="zh-CN" w:bidi="ar-SA"/>
    </w:rPr>
  </w:style>
  <w:style w:type="character" w:customStyle="1" w:styleId="118">
    <w:name w:val="纯文本 Char Char Char"/>
    <w:autoRedefine/>
    <w:qFormat/>
    <w:uiPriority w:val="0"/>
    <w:rPr>
      <w:rFonts w:ascii="宋体" w:hAnsi="Courier New" w:eastAsia="宋体"/>
      <w:kern w:val="2"/>
      <w:sz w:val="21"/>
      <w:lang w:val="en-US" w:eastAsia="zh-CN" w:bidi="ar-SA"/>
    </w:rPr>
  </w:style>
  <w:style w:type="character" w:customStyle="1" w:styleId="119">
    <w:name w:val="content"/>
    <w:autoRedefine/>
    <w:qFormat/>
    <w:uiPriority w:val="0"/>
  </w:style>
  <w:style w:type="character" w:customStyle="1" w:styleId="120">
    <w:name w:val="font71"/>
    <w:basedOn w:val="62"/>
    <w:autoRedefine/>
    <w:qFormat/>
    <w:uiPriority w:val="0"/>
    <w:rPr>
      <w:rFonts w:hint="eastAsia" w:ascii="宋体" w:hAnsi="宋体" w:eastAsia="宋体" w:cs="宋体"/>
      <w:color w:val="000000"/>
      <w:sz w:val="22"/>
      <w:szCs w:val="22"/>
      <w:u w:val="none"/>
    </w:rPr>
  </w:style>
  <w:style w:type="character" w:customStyle="1" w:styleId="121">
    <w:name w:val="f141"/>
    <w:autoRedefine/>
    <w:qFormat/>
    <w:uiPriority w:val="0"/>
    <w:rPr>
      <w:rFonts w:ascii="Tahoma" w:hAnsi="Tahoma" w:eastAsia="宋体"/>
      <w:b/>
      <w:kern w:val="2"/>
      <w:sz w:val="21"/>
      <w:szCs w:val="21"/>
      <w:lang w:val="en-US" w:eastAsia="zh-CN" w:bidi="ar-SA"/>
    </w:rPr>
  </w:style>
  <w:style w:type="character" w:customStyle="1" w:styleId="122">
    <w:name w:val="hei16b1"/>
    <w:autoRedefine/>
    <w:qFormat/>
    <w:uiPriority w:val="0"/>
    <w:rPr>
      <w:rFonts w:hint="default" w:ascii="Arial" w:hAnsi="Arial" w:cs="Arial"/>
      <w:b/>
      <w:bCs/>
      <w:color w:val="000000"/>
      <w:sz w:val="24"/>
      <w:szCs w:val="24"/>
    </w:rPr>
  </w:style>
  <w:style w:type="character" w:customStyle="1" w:styleId="123">
    <w:name w:val="Char Char3"/>
    <w:autoRedefine/>
    <w:semiHidden/>
    <w:qFormat/>
    <w:uiPriority w:val="0"/>
    <w:rPr>
      <w:rFonts w:ascii="Times New Roman" w:hAnsi="Times New Roman" w:eastAsia="宋体" w:cs="Times New Roman"/>
      <w:b/>
      <w:kern w:val="2"/>
      <w:sz w:val="32"/>
      <w:szCs w:val="24"/>
      <w:lang w:val="en-US" w:eastAsia="zh-CN" w:bidi="ar-SA"/>
    </w:rPr>
  </w:style>
  <w:style w:type="character" w:customStyle="1" w:styleId="124">
    <w:name w:val="Char Char12"/>
    <w:autoRedefine/>
    <w:qFormat/>
    <w:uiPriority w:val="0"/>
    <w:rPr>
      <w:rFonts w:ascii="仿宋_GB2312" w:eastAsia="仿宋_GB2312"/>
      <w:b/>
      <w:bCs/>
      <w:kern w:val="2"/>
      <w:sz w:val="24"/>
      <w:szCs w:val="24"/>
      <w:lang w:val="zh-CN" w:eastAsia="zh-CN" w:bidi="ar-SA"/>
    </w:rPr>
  </w:style>
  <w:style w:type="character" w:customStyle="1" w:styleId="125">
    <w:name w:val="表格 Char Char"/>
    <w:autoRedefine/>
    <w:qFormat/>
    <w:uiPriority w:val="0"/>
    <w:rPr>
      <w:rFonts w:ascii="宋体" w:hAnsi="宋体" w:eastAsia="宋体"/>
      <w:lang w:bidi="ar-SA"/>
    </w:rPr>
  </w:style>
  <w:style w:type="character" w:customStyle="1" w:styleId="126">
    <w:name w:val="标题 2 Char Char"/>
    <w:autoRedefine/>
    <w:qFormat/>
    <w:uiPriority w:val="0"/>
    <w:rPr>
      <w:rFonts w:ascii="楷体_GB2312" w:hAnsi="Arial" w:eastAsia="楷体_GB2312"/>
      <w:b/>
      <w:bCs/>
      <w:kern w:val="2"/>
      <w:sz w:val="24"/>
      <w:szCs w:val="32"/>
      <w:lang w:val="en-US" w:eastAsia="zh-CN" w:bidi="ar-SA"/>
    </w:rPr>
  </w:style>
  <w:style w:type="character" w:customStyle="1" w:styleId="127">
    <w:name w:val="Body Text(ch) Char Char"/>
    <w:autoRedefine/>
    <w:qFormat/>
    <w:uiPriority w:val="0"/>
    <w:rPr>
      <w:rFonts w:ascii="宋体"/>
      <w:kern w:val="2"/>
      <w:sz w:val="24"/>
      <w:szCs w:val="21"/>
      <w:lang w:val="zh-CN"/>
    </w:rPr>
  </w:style>
  <w:style w:type="character" w:customStyle="1" w:styleId="128">
    <w:name w:val="样式 宋体"/>
    <w:autoRedefine/>
    <w:qFormat/>
    <w:uiPriority w:val="0"/>
    <w:rPr>
      <w:rFonts w:ascii="宋体" w:hAnsi="宋体"/>
      <w:sz w:val="24"/>
    </w:rPr>
  </w:style>
  <w:style w:type="character" w:customStyle="1" w:styleId="129">
    <w:name w:val="正文1 Char1"/>
    <w:autoRedefine/>
    <w:qFormat/>
    <w:uiPriority w:val="0"/>
    <w:rPr>
      <w:rFonts w:ascii="仿宋_GB2312" w:hAnsi="Courier New" w:eastAsia="仿宋_GB2312"/>
      <w:kern w:val="28"/>
      <w:sz w:val="24"/>
      <w:szCs w:val="24"/>
    </w:rPr>
  </w:style>
  <w:style w:type="character" w:customStyle="1" w:styleId="130">
    <w:name w:val="Char Char2"/>
    <w:autoRedefine/>
    <w:qFormat/>
    <w:uiPriority w:val="0"/>
    <w:rPr>
      <w:rFonts w:eastAsia="宋体"/>
      <w:b/>
      <w:bCs/>
      <w:kern w:val="2"/>
      <w:sz w:val="21"/>
      <w:szCs w:val="24"/>
      <w:lang w:val="en-US" w:eastAsia="zh-CN" w:bidi="ar-SA"/>
    </w:rPr>
  </w:style>
  <w:style w:type="character" w:customStyle="1" w:styleId="131">
    <w:name w:val="首行缩进 Char"/>
    <w:autoRedefine/>
    <w:qFormat/>
    <w:uiPriority w:val="0"/>
    <w:rPr>
      <w:rFonts w:ascii="宋体" w:eastAsia="宋体"/>
      <w:kern w:val="2"/>
      <w:sz w:val="24"/>
      <w:lang w:val="en-US" w:eastAsia="zh-CN" w:bidi="ar-SA"/>
    </w:rPr>
  </w:style>
  <w:style w:type="character" w:customStyle="1" w:styleId="132">
    <w:name w:val="hui3"/>
    <w:autoRedefine/>
    <w:qFormat/>
    <w:uiPriority w:val="0"/>
    <w:rPr>
      <w:color w:val="333333"/>
    </w:rPr>
  </w:style>
  <w:style w:type="character" w:customStyle="1" w:styleId="133">
    <w:name w:val="样式6 Char"/>
    <w:autoRedefine/>
    <w:qFormat/>
    <w:uiPriority w:val="0"/>
    <w:rPr>
      <w:rFonts w:ascii="仿宋_GB2312" w:hAnsi="宋体" w:eastAsia="仿宋_GB2312"/>
      <w:b/>
      <w:bCs/>
      <w:kern w:val="2"/>
      <w:sz w:val="24"/>
      <w:szCs w:val="24"/>
      <w:lang w:val="en-US" w:eastAsia="zh-CN" w:bidi="ar-SA"/>
    </w:rPr>
  </w:style>
  <w:style w:type="character" w:customStyle="1" w:styleId="134">
    <w:name w:val="ca-131"/>
    <w:autoRedefine/>
    <w:qFormat/>
    <w:uiPriority w:val="0"/>
    <w:rPr>
      <w:rFonts w:hint="eastAsia" w:ascii="仿宋_GB2312" w:eastAsia="仿宋_GB2312"/>
      <w:b/>
      <w:bCs/>
      <w:color w:val="000000"/>
      <w:spacing w:val="-20"/>
      <w:sz w:val="24"/>
      <w:szCs w:val="24"/>
    </w:rPr>
  </w:style>
  <w:style w:type="character" w:customStyle="1" w:styleId="135">
    <w:name w:val="Char Char8"/>
    <w:autoRedefine/>
    <w:qFormat/>
    <w:uiPriority w:val="0"/>
    <w:rPr>
      <w:rFonts w:eastAsia="宋体"/>
      <w:b/>
      <w:sz w:val="24"/>
      <w:lang w:val="en-GB" w:eastAsia="zh-CN"/>
    </w:rPr>
  </w:style>
  <w:style w:type="character" w:customStyle="1" w:styleId="136">
    <w:name w:val="Footer Char"/>
    <w:autoRedefine/>
    <w:qFormat/>
    <w:locked/>
    <w:uiPriority w:val="0"/>
    <w:rPr>
      <w:rFonts w:eastAsia="宋体"/>
      <w:kern w:val="2"/>
      <w:sz w:val="18"/>
      <w:lang w:val="en-US" w:eastAsia="zh-CN" w:bidi="ar-SA"/>
    </w:rPr>
  </w:style>
  <w:style w:type="character" w:customStyle="1" w:styleId="137">
    <w:name w:val="h3 Char1"/>
    <w:autoRedefine/>
    <w:qFormat/>
    <w:uiPriority w:val="0"/>
    <w:rPr>
      <w:rFonts w:eastAsia="宋体"/>
      <w:b/>
      <w:bCs/>
      <w:kern w:val="2"/>
      <w:sz w:val="32"/>
      <w:szCs w:val="32"/>
      <w:lang w:bidi="ar-SA"/>
    </w:rPr>
  </w:style>
  <w:style w:type="character" w:customStyle="1" w:styleId="138">
    <w:name w:val="DO_NOT_TRANSLATE"/>
    <w:autoRedefine/>
    <w:qFormat/>
    <w:uiPriority w:val="0"/>
    <w:rPr>
      <w:rFonts w:ascii="Courier New" w:hAnsi="Courier New" w:cs="Courier New"/>
      <w:color w:val="800000"/>
    </w:rPr>
  </w:style>
  <w:style w:type="character" w:customStyle="1" w:styleId="139">
    <w:name w:val="tw4winTerm"/>
    <w:autoRedefine/>
    <w:qFormat/>
    <w:uiPriority w:val="0"/>
    <w:rPr>
      <w:color w:val="0000FF"/>
    </w:rPr>
  </w:style>
  <w:style w:type="character" w:customStyle="1" w:styleId="140">
    <w:name w:val="pt141"/>
    <w:autoRedefine/>
    <w:qFormat/>
    <w:uiPriority w:val="0"/>
    <w:rPr>
      <w:color w:val="330066"/>
      <w:sz w:val="22"/>
      <w:szCs w:val="22"/>
    </w:rPr>
  </w:style>
  <w:style w:type="character" w:customStyle="1" w:styleId="141">
    <w:name w:val="tw4winPopup"/>
    <w:autoRedefine/>
    <w:qFormat/>
    <w:uiPriority w:val="0"/>
    <w:rPr>
      <w:rFonts w:ascii="Courier New" w:hAnsi="Courier New" w:cs="Courier New"/>
      <w:color w:val="008000"/>
    </w:rPr>
  </w:style>
  <w:style w:type="character" w:customStyle="1" w:styleId="142">
    <w:name w:val="Item List Char"/>
    <w:link w:val="143"/>
    <w:autoRedefine/>
    <w:qFormat/>
    <w:uiPriority w:val="0"/>
    <w:rPr>
      <w:rFonts w:ascii="Arial"/>
      <w:bCs/>
      <w:sz w:val="21"/>
      <w:szCs w:val="21"/>
      <w:lang w:val="en-US" w:eastAsia="zh-CN" w:bidi="ar-SA"/>
    </w:rPr>
  </w:style>
  <w:style w:type="paragraph" w:customStyle="1" w:styleId="143">
    <w:name w:val="Item List"/>
    <w:link w:val="142"/>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144">
    <w:name w:val="gf正文1 Char"/>
    <w:autoRedefine/>
    <w:qFormat/>
    <w:uiPriority w:val="0"/>
    <w:rPr>
      <w:rFonts w:ascii="宋体" w:hAnsi="宋体" w:eastAsia="宋体" w:cs="宋体"/>
      <w:kern w:val="2"/>
      <w:sz w:val="24"/>
      <w:szCs w:val="24"/>
      <w:lang w:val="en-US" w:eastAsia="zh-CN" w:bidi="ar-SA"/>
    </w:rPr>
  </w:style>
  <w:style w:type="character" w:customStyle="1" w:styleId="145">
    <w:name w:val="纯文本 Char1"/>
    <w:link w:val="146"/>
    <w:autoRedefine/>
    <w:qFormat/>
    <w:uiPriority w:val="0"/>
    <w:rPr>
      <w:rFonts w:ascii="宋体" w:hAnsi="Courier New"/>
    </w:rPr>
  </w:style>
  <w:style w:type="paragraph" w:customStyle="1" w:styleId="146">
    <w:name w:val="纯文本1"/>
    <w:basedOn w:val="1"/>
    <w:link w:val="145"/>
    <w:autoRedefine/>
    <w:qFormat/>
    <w:uiPriority w:val="0"/>
    <w:pPr>
      <w:adjustRightInd/>
    </w:pPr>
    <w:rPr>
      <w:rFonts w:ascii="宋体" w:hAnsi="Courier New"/>
      <w:kern w:val="0"/>
      <w:sz w:val="20"/>
      <w:szCs w:val="20"/>
    </w:rPr>
  </w:style>
  <w:style w:type="character" w:customStyle="1" w:styleId="147">
    <w:name w:val="纯文本 Char_0"/>
    <w:link w:val="148"/>
    <w:autoRedefine/>
    <w:qFormat/>
    <w:uiPriority w:val="0"/>
    <w:rPr>
      <w:rFonts w:ascii="宋体" w:hAnsi="Courier New"/>
      <w:kern w:val="2"/>
      <w:sz w:val="21"/>
      <w:szCs w:val="21"/>
    </w:rPr>
  </w:style>
  <w:style w:type="paragraph" w:customStyle="1" w:styleId="148">
    <w:name w:val="纯文本_0_0"/>
    <w:basedOn w:val="149"/>
    <w:link w:val="147"/>
    <w:autoRedefine/>
    <w:qFormat/>
    <w:uiPriority w:val="0"/>
    <w:rPr>
      <w:rFonts w:ascii="宋体" w:hAnsi="Courier New"/>
      <w:szCs w:val="21"/>
    </w:rPr>
  </w:style>
  <w:style w:type="paragraph" w:customStyle="1" w:styleId="149">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0">
    <w:name w:val="正文非缩进 Char"/>
    <w:autoRedefine/>
    <w:qFormat/>
    <w:uiPriority w:val="0"/>
    <w:rPr>
      <w:rFonts w:ascii="宋体" w:eastAsia="宋体"/>
      <w:snapToGrid w:val="0"/>
      <w:color w:val="000000"/>
      <w:kern w:val="28"/>
      <w:sz w:val="28"/>
      <w:lang w:val="en-US" w:eastAsia="zh-CN" w:bidi="ar-SA"/>
    </w:rPr>
  </w:style>
  <w:style w:type="character" w:customStyle="1" w:styleId="151">
    <w:name w:val="FA正文 Char Char"/>
    <w:autoRedefine/>
    <w:qFormat/>
    <w:uiPriority w:val="0"/>
    <w:rPr>
      <w:rFonts w:hAnsi="宋体"/>
      <w:kern w:val="2"/>
      <w:sz w:val="24"/>
      <w:lang w:bidi="ar-SA"/>
    </w:rPr>
  </w:style>
  <w:style w:type="character" w:customStyle="1" w:styleId="152">
    <w:name w:val="正文文本 Char"/>
    <w:autoRedefine/>
    <w:qFormat/>
    <w:uiPriority w:val="0"/>
    <w:rPr>
      <w:rFonts w:eastAsia="宋体"/>
      <w:kern w:val="2"/>
      <w:sz w:val="24"/>
      <w:szCs w:val="24"/>
      <w:lang w:val="en-US" w:eastAsia="zh-CN" w:bidi="ar-SA"/>
    </w:rPr>
  </w:style>
  <w:style w:type="character" w:customStyle="1" w:styleId="153">
    <w:name w:val="仿宋正文 Char"/>
    <w:link w:val="154"/>
    <w:autoRedefine/>
    <w:qFormat/>
    <w:uiPriority w:val="0"/>
    <w:rPr>
      <w:rFonts w:ascii="仿宋_GB2312" w:eastAsia="仿宋_GB2312"/>
      <w:kern w:val="2"/>
      <w:sz w:val="24"/>
      <w:lang w:val="en-US" w:eastAsia="zh-CN" w:bidi="ar-SA"/>
    </w:rPr>
  </w:style>
  <w:style w:type="paragraph" w:customStyle="1" w:styleId="154">
    <w:name w:val="仿宋正文"/>
    <w:basedOn w:val="1"/>
    <w:link w:val="153"/>
    <w:autoRedefine/>
    <w:qFormat/>
    <w:uiPriority w:val="0"/>
    <w:pPr>
      <w:adjustRightInd/>
      <w:spacing w:line="360" w:lineRule="auto"/>
      <w:ind w:firstLine="480" w:firstLineChars="200"/>
    </w:pPr>
    <w:rPr>
      <w:rFonts w:ascii="仿宋_GB2312" w:eastAsia="仿宋_GB2312"/>
      <w:sz w:val="24"/>
      <w:szCs w:val="20"/>
    </w:rPr>
  </w:style>
  <w:style w:type="character" w:customStyle="1" w:styleId="155">
    <w:name w:val="Ò³Ã¼ Char Char1"/>
    <w:autoRedefine/>
    <w:qFormat/>
    <w:uiPriority w:val="0"/>
    <w:rPr>
      <w:rFonts w:eastAsia="宋体"/>
      <w:kern w:val="2"/>
      <w:sz w:val="18"/>
      <w:szCs w:val="18"/>
      <w:lang w:val="en-US" w:eastAsia="zh-CN" w:bidi="ar-SA"/>
    </w:rPr>
  </w:style>
  <w:style w:type="character" w:customStyle="1" w:styleId="156">
    <w:name w:val="myp1111"/>
    <w:autoRedefine/>
    <w:qFormat/>
    <w:uiPriority w:val="0"/>
    <w:rPr>
      <w:rFonts w:hint="default" w:ascii="ˎ̥" w:hAnsi="ˎ̥"/>
      <w:color w:val="000000"/>
      <w:sz w:val="20"/>
      <w:szCs w:val="20"/>
      <w:u w:val="none"/>
    </w:rPr>
  </w:style>
  <w:style w:type="character" w:customStyle="1" w:styleId="157">
    <w:name w:val="dectext1"/>
    <w:autoRedefine/>
    <w:qFormat/>
    <w:uiPriority w:val="0"/>
    <w:rPr>
      <w:rFonts w:ascii="宋体" w:hAnsi="宋体" w:eastAsia="宋体"/>
      <w:color w:val="333333"/>
      <w:sz w:val="21"/>
      <w:szCs w:val="21"/>
      <w:u w:val="none"/>
    </w:rPr>
  </w:style>
  <w:style w:type="character" w:customStyle="1" w:styleId="158">
    <w:name w:val="style36"/>
    <w:basedOn w:val="62"/>
    <w:autoRedefine/>
    <w:qFormat/>
    <w:uiPriority w:val="0"/>
  </w:style>
  <w:style w:type="character" w:customStyle="1" w:styleId="159">
    <w:name w:val="Char Char11"/>
    <w:autoRedefine/>
    <w:qFormat/>
    <w:locked/>
    <w:uiPriority w:val="0"/>
    <w:rPr>
      <w:rFonts w:ascii="宋体" w:hAnsi="宋体" w:eastAsia="宋体"/>
      <w:b/>
      <w:kern w:val="2"/>
      <w:sz w:val="24"/>
      <w:szCs w:val="24"/>
      <w:lang w:val="en-US" w:eastAsia="zh-CN" w:bidi="ar-SA"/>
    </w:rPr>
  </w:style>
  <w:style w:type="character" w:customStyle="1" w:styleId="160">
    <w:name w:val="Comment Text Char"/>
    <w:autoRedefine/>
    <w:semiHidden/>
    <w:qFormat/>
    <w:locked/>
    <w:uiPriority w:val="0"/>
    <w:rPr>
      <w:rFonts w:ascii="宋体" w:hAnsi="宋体" w:eastAsia="宋体"/>
      <w:kern w:val="2"/>
      <w:sz w:val="24"/>
      <w:lang w:val="en-US" w:eastAsia="zh-CN" w:bidi="ar-SA"/>
    </w:rPr>
  </w:style>
  <w:style w:type="character" w:customStyle="1" w:styleId="161">
    <w:name w:val="冯 Char"/>
    <w:link w:val="162"/>
    <w:autoRedefine/>
    <w:qFormat/>
    <w:uiPriority w:val="0"/>
    <w:rPr>
      <w:rFonts w:ascii="宋体" w:hAnsi="宋体"/>
      <w:color w:val="000000"/>
      <w:sz w:val="24"/>
      <w:szCs w:val="24"/>
    </w:rPr>
  </w:style>
  <w:style w:type="paragraph" w:customStyle="1" w:styleId="162">
    <w:name w:val="冯"/>
    <w:basedOn w:val="1"/>
    <w:link w:val="161"/>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163">
    <w:name w:val="文档结构图 Char"/>
    <w:autoRedefine/>
    <w:qFormat/>
    <w:uiPriority w:val="0"/>
    <w:rPr>
      <w:rFonts w:eastAsia="宋体"/>
      <w:kern w:val="2"/>
      <w:sz w:val="21"/>
      <w:szCs w:val="24"/>
      <w:lang w:val="en-US" w:eastAsia="zh-CN" w:bidi="ar-SA"/>
    </w:rPr>
  </w:style>
  <w:style w:type="character" w:customStyle="1" w:styleId="164">
    <w:name w:val="标书正文格式 Char"/>
    <w:autoRedefine/>
    <w:qFormat/>
    <w:uiPriority w:val="0"/>
    <w:rPr>
      <w:rFonts w:eastAsia="楷体_GB2312"/>
      <w:kern w:val="2"/>
      <w:sz w:val="24"/>
      <w:szCs w:val="24"/>
      <w:lang w:bidi="ar-SA"/>
    </w:rPr>
  </w:style>
  <w:style w:type="character" w:customStyle="1" w:styleId="165">
    <w:name w:val="此正文 Char"/>
    <w:link w:val="166"/>
    <w:autoRedefine/>
    <w:qFormat/>
    <w:uiPriority w:val="0"/>
    <w:rPr>
      <w:kern w:val="2"/>
      <w:sz w:val="24"/>
      <w:szCs w:val="24"/>
    </w:rPr>
  </w:style>
  <w:style w:type="paragraph" w:customStyle="1" w:styleId="166">
    <w:name w:val="此正文"/>
    <w:basedOn w:val="1"/>
    <w:link w:val="165"/>
    <w:autoRedefine/>
    <w:qFormat/>
    <w:uiPriority w:val="0"/>
    <w:pPr>
      <w:adjustRightInd/>
      <w:spacing w:line="360" w:lineRule="auto"/>
      <w:ind w:firstLine="200" w:firstLineChars="200"/>
    </w:pPr>
    <w:rPr>
      <w:sz w:val="24"/>
    </w:rPr>
  </w:style>
  <w:style w:type="character" w:customStyle="1" w:styleId="167">
    <w:name w:val="Balloon Text Char"/>
    <w:autoRedefine/>
    <w:semiHidden/>
    <w:qFormat/>
    <w:locked/>
    <w:uiPriority w:val="0"/>
    <w:rPr>
      <w:rFonts w:eastAsia="宋体"/>
      <w:kern w:val="2"/>
      <w:sz w:val="18"/>
      <w:szCs w:val="18"/>
      <w:lang w:val="en-US" w:eastAsia="zh-CN" w:bidi="ar-SA"/>
    </w:rPr>
  </w:style>
  <w:style w:type="character" w:customStyle="1" w:styleId="168">
    <w:name w:val="标准正文格式 Char"/>
    <w:autoRedefine/>
    <w:qFormat/>
    <w:uiPriority w:val="0"/>
    <w:rPr>
      <w:rFonts w:ascii="宋体" w:eastAsia="仿宋_GB2312" w:cs="宋体"/>
      <w:color w:val="000000"/>
      <w:sz w:val="24"/>
      <w:lang w:val="en-US" w:eastAsia="zh-CN" w:bidi="ar-SA"/>
    </w:rPr>
  </w:style>
  <w:style w:type="character" w:customStyle="1" w:styleId="169">
    <w:name w:val="tw4winJump"/>
    <w:autoRedefine/>
    <w:qFormat/>
    <w:uiPriority w:val="0"/>
    <w:rPr>
      <w:rFonts w:ascii="Courier New" w:hAnsi="Courier New" w:cs="Courier New"/>
      <w:color w:val="008080"/>
    </w:rPr>
  </w:style>
  <w:style w:type="character" w:customStyle="1" w:styleId="170">
    <w:name w:val="样式5 Char"/>
    <w:autoRedefine/>
    <w:qFormat/>
    <w:uiPriority w:val="0"/>
    <w:rPr>
      <w:rFonts w:ascii="仿宋_GB2312" w:hAnsi="仿宋" w:eastAsia="仿宋_GB2312"/>
      <w:kern w:val="2"/>
      <w:sz w:val="24"/>
      <w:szCs w:val="24"/>
    </w:rPr>
  </w:style>
  <w:style w:type="character" w:customStyle="1" w:styleId="171">
    <w:name w:val="dandyren_title1"/>
    <w:autoRedefine/>
    <w:qFormat/>
    <w:uiPriority w:val="0"/>
    <w:rPr>
      <w:b/>
      <w:bCs/>
      <w:color w:val="FF6633"/>
      <w:sz w:val="18"/>
      <w:szCs w:val="18"/>
    </w:rPr>
  </w:style>
  <w:style w:type="character" w:customStyle="1" w:styleId="172">
    <w:name w:val="shadow11"/>
    <w:autoRedefine/>
    <w:qFormat/>
    <w:uiPriority w:val="0"/>
    <w:rPr>
      <w:color w:val="000000"/>
      <w:sz w:val="21"/>
    </w:rPr>
  </w:style>
  <w:style w:type="character" w:customStyle="1" w:styleId="173">
    <w:name w:val="mdeck"/>
    <w:autoRedefine/>
    <w:qFormat/>
    <w:uiPriority w:val="0"/>
    <w:rPr>
      <w:rFonts w:ascii="仿宋_GB2312" w:eastAsia="微软雅黑"/>
      <w:b/>
      <w:kern w:val="2"/>
      <w:sz w:val="32"/>
      <w:szCs w:val="32"/>
      <w:lang w:val="en-US" w:eastAsia="zh-CN" w:bidi="ar-SA"/>
    </w:rPr>
  </w:style>
  <w:style w:type="character" w:customStyle="1" w:styleId="174">
    <w:name w:val="txt"/>
    <w:autoRedefine/>
    <w:qFormat/>
    <w:uiPriority w:val="0"/>
    <w:rPr>
      <w:rFonts w:ascii="仿宋_GB2312" w:eastAsia="微软雅黑"/>
      <w:b/>
      <w:kern w:val="2"/>
      <w:sz w:val="32"/>
      <w:szCs w:val="32"/>
      <w:lang w:val="en-US" w:eastAsia="zh-CN" w:bidi="ar-SA"/>
    </w:rPr>
  </w:style>
  <w:style w:type="character" w:customStyle="1" w:styleId="175">
    <w:name w:val="副标题 Char1"/>
    <w:autoRedefine/>
    <w:qFormat/>
    <w:uiPriority w:val="0"/>
    <w:rPr>
      <w:rFonts w:ascii="Cambria" w:hAnsi="Cambria" w:eastAsia="宋体" w:cs="Times New Roman"/>
      <w:b/>
      <w:bCs/>
      <w:snapToGrid w:val="0"/>
      <w:kern w:val="28"/>
      <w:sz w:val="32"/>
      <w:szCs w:val="32"/>
    </w:rPr>
  </w:style>
  <w:style w:type="character" w:customStyle="1" w:styleId="176">
    <w:name w:val="普通文字 Char1"/>
    <w:autoRedefine/>
    <w:qFormat/>
    <w:uiPriority w:val="0"/>
    <w:rPr>
      <w:rFonts w:ascii="宋体" w:hAnsi="Courier New" w:eastAsia="宋体"/>
      <w:kern w:val="2"/>
      <w:sz w:val="21"/>
      <w:lang w:val="en-US" w:eastAsia="zh-CN"/>
    </w:rPr>
  </w:style>
  <w:style w:type="character" w:customStyle="1" w:styleId="177">
    <w:name w:val=" Char Char"/>
    <w:autoRedefine/>
    <w:qFormat/>
    <w:uiPriority w:val="0"/>
    <w:rPr>
      <w:rFonts w:ascii="宋体" w:hAnsi="Courier New" w:eastAsia="宋体"/>
      <w:kern w:val="2"/>
      <w:sz w:val="21"/>
      <w:lang w:val="en-US" w:eastAsia="zh-CN" w:bidi="ar-SA"/>
    </w:rPr>
  </w:style>
  <w:style w:type="character" w:customStyle="1" w:styleId="178">
    <w:name w:val="正文缩进 Char"/>
    <w:autoRedefine/>
    <w:qFormat/>
    <w:uiPriority w:val="0"/>
    <w:rPr>
      <w:rFonts w:eastAsia="宋体"/>
      <w:kern w:val="2"/>
      <w:sz w:val="21"/>
      <w:lang w:val="en-US" w:eastAsia="zh-CN"/>
    </w:rPr>
  </w:style>
  <w:style w:type="character" w:customStyle="1" w:styleId="179">
    <w:name w:val="批注文字 Char"/>
    <w:autoRedefine/>
    <w:qFormat/>
    <w:uiPriority w:val="99"/>
    <w:rPr>
      <w:kern w:val="2"/>
      <w:sz w:val="21"/>
      <w:szCs w:val="24"/>
    </w:rPr>
  </w:style>
  <w:style w:type="character" w:customStyle="1" w:styleId="180">
    <w:name w:val="Header Char"/>
    <w:autoRedefine/>
    <w:semiHidden/>
    <w:qFormat/>
    <w:locked/>
    <w:uiPriority w:val="0"/>
    <w:rPr>
      <w:rFonts w:eastAsia="宋体"/>
      <w:kern w:val="2"/>
      <w:sz w:val="18"/>
      <w:szCs w:val="18"/>
      <w:lang w:val="en-US" w:eastAsia="zh-CN" w:bidi="ar-SA"/>
    </w:rPr>
  </w:style>
  <w:style w:type="character" w:customStyle="1" w:styleId="181">
    <w:name w:val="列出段落 Char"/>
    <w:autoRedefine/>
    <w:qFormat/>
    <w:uiPriority w:val="34"/>
    <w:rPr>
      <w:rFonts w:eastAsia="楷体_GB2312" w:cs="Lucida Sans"/>
      <w:kern w:val="2"/>
      <w:sz w:val="24"/>
      <w:szCs w:val="24"/>
      <w:lang w:val="en-US" w:eastAsia="zh-CN" w:bidi="ar-SA"/>
    </w:rPr>
  </w:style>
  <w:style w:type="character" w:customStyle="1" w:styleId="182">
    <w:name w:val="样式 标题 4h4H4Fab-4T5Ref Heading 1rh1Heading sqlsect 1.2.3.... Char"/>
    <w:link w:val="183"/>
    <w:autoRedefine/>
    <w:qFormat/>
    <w:uiPriority w:val="0"/>
    <w:rPr>
      <w:rFonts w:ascii="微软雅黑" w:hAnsi="微软雅黑" w:eastAsia="微软雅黑"/>
      <w:b/>
      <w:bCs/>
      <w:kern w:val="2"/>
      <w:sz w:val="24"/>
      <w:szCs w:val="28"/>
    </w:rPr>
  </w:style>
  <w:style w:type="paragraph" w:customStyle="1" w:styleId="183">
    <w:name w:val="样式 标题 4h4H4Fab-4T5Ref Heading 1rh1Heading sqlsect 1.2.3...."/>
    <w:basedOn w:val="5"/>
    <w:link w:val="182"/>
    <w:autoRedefine/>
    <w:qFormat/>
    <w:uiPriority w:val="0"/>
    <w:pPr>
      <w:numPr>
        <w:ilvl w:val="3"/>
        <w:numId w:val="0"/>
      </w:num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184">
    <w:name w:val="表正文 Char"/>
    <w:autoRedefine/>
    <w:qFormat/>
    <w:uiPriority w:val="0"/>
    <w:rPr>
      <w:rFonts w:ascii="宋体" w:eastAsia="宋体"/>
      <w:snapToGrid w:val="0"/>
      <w:color w:val="000000"/>
      <w:kern w:val="28"/>
      <w:sz w:val="28"/>
      <w:lang w:val="en-US" w:eastAsia="zh-CN" w:bidi="ar-SA"/>
    </w:rPr>
  </w:style>
  <w:style w:type="character" w:customStyle="1" w:styleId="185">
    <w:name w:val="h Char Char1"/>
    <w:autoRedefine/>
    <w:qFormat/>
    <w:uiPriority w:val="0"/>
    <w:rPr>
      <w:rFonts w:eastAsia="宋体"/>
      <w:kern w:val="2"/>
      <w:sz w:val="18"/>
      <w:szCs w:val="18"/>
      <w:lang w:val="en-US" w:eastAsia="zh-CN" w:bidi="ar-SA"/>
    </w:rPr>
  </w:style>
  <w:style w:type="character" w:customStyle="1" w:styleId="186">
    <w:name w:val="hui"/>
    <w:basedOn w:val="62"/>
    <w:autoRedefine/>
    <w:qFormat/>
    <w:uiPriority w:val="0"/>
  </w:style>
  <w:style w:type="character" w:customStyle="1" w:styleId="187">
    <w:name w:val="页眉 Char"/>
    <w:autoRedefine/>
    <w:qFormat/>
    <w:uiPriority w:val="99"/>
    <w:rPr>
      <w:rFonts w:eastAsia="仿宋_GB2312"/>
      <w:kern w:val="2"/>
      <w:sz w:val="18"/>
      <w:lang w:val="en-US" w:eastAsia="zh-CN"/>
    </w:rPr>
  </w:style>
  <w:style w:type="character" w:customStyle="1" w:styleId="188">
    <w:name w:val="样式2 Char"/>
    <w:autoRedefine/>
    <w:qFormat/>
    <w:uiPriority w:val="0"/>
    <w:rPr>
      <w:rFonts w:ascii="仿宋_GB2312" w:hAnsi="仿宋" w:eastAsia="仿宋_GB2312" w:cs="仿宋_GB2312"/>
      <w:b/>
      <w:bCs/>
      <w:sz w:val="32"/>
      <w:szCs w:val="30"/>
      <w:lang w:val="zh-CN"/>
    </w:rPr>
  </w:style>
  <w:style w:type="character" w:customStyle="1" w:styleId="189">
    <w:name w:val="Footer-Even Char"/>
    <w:autoRedefine/>
    <w:qFormat/>
    <w:uiPriority w:val="0"/>
    <w:rPr>
      <w:rFonts w:eastAsia="宋体"/>
      <w:kern w:val="2"/>
      <w:sz w:val="18"/>
      <w:lang w:val="en-US" w:eastAsia="zh-CN" w:bidi="ar-SA"/>
    </w:rPr>
  </w:style>
  <w:style w:type="character" w:customStyle="1" w:styleId="190">
    <w:name w:val="样式 样式 标题 4h4H4Fab-4T5Ref Heading 1rh1Heading sqlsect 1.2.3.... +... Char"/>
    <w:link w:val="191"/>
    <w:autoRedefine/>
    <w:qFormat/>
    <w:uiPriority w:val="0"/>
    <w:rPr>
      <w:rFonts w:ascii="微软雅黑" w:hAnsi="微软雅黑" w:eastAsia="微软雅黑"/>
      <w:b/>
      <w:bCs/>
      <w:kern w:val="2"/>
      <w:sz w:val="24"/>
      <w:szCs w:val="28"/>
    </w:rPr>
  </w:style>
  <w:style w:type="paragraph" w:customStyle="1" w:styleId="191">
    <w:name w:val="样式 样式 标题 4h4H4Fab-4T5Ref Heading 1rh1Heading sqlsect 1.2.3.... +..."/>
    <w:basedOn w:val="183"/>
    <w:link w:val="190"/>
    <w:autoRedefine/>
    <w:qFormat/>
    <w:uiPriority w:val="0"/>
  </w:style>
  <w:style w:type="character" w:customStyle="1" w:styleId="192">
    <w:name w:val="表正文 Char1"/>
    <w:autoRedefine/>
    <w:qFormat/>
    <w:uiPriority w:val="0"/>
    <w:rPr>
      <w:rFonts w:ascii="宋体" w:eastAsia="宋体"/>
      <w:snapToGrid w:val="0"/>
      <w:color w:val="000000"/>
      <w:kern w:val="28"/>
      <w:sz w:val="28"/>
    </w:rPr>
  </w:style>
  <w:style w:type="character" w:customStyle="1" w:styleId="193">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194">
    <w:name w:val="javascript"/>
    <w:autoRedefine/>
    <w:qFormat/>
    <w:uiPriority w:val="0"/>
  </w:style>
  <w:style w:type="character" w:customStyle="1" w:styleId="195">
    <w:name w:val="fontstyle01"/>
    <w:basedOn w:val="62"/>
    <w:autoRedefine/>
    <w:qFormat/>
    <w:uiPriority w:val="0"/>
    <w:rPr>
      <w:rFonts w:hint="eastAsia" w:ascii="仿宋" w:hAnsi="仿宋" w:eastAsia="仿宋"/>
      <w:color w:val="000000"/>
      <w:sz w:val="28"/>
      <w:szCs w:val="28"/>
    </w:rPr>
  </w:style>
  <w:style w:type="character" w:customStyle="1" w:styleId="196">
    <w:name w:val=" Char Char8"/>
    <w:autoRedefine/>
    <w:qFormat/>
    <w:uiPriority w:val="0"/>
    <w:rPr>
      <w:rFonts w:eastAsia="宋体"/>
      <w:b/>
      <w:sz w:val="24"/>
      <w:lang w:val="en-GB" w:eastAsia="zh-CN"/>
    </w:rPr>
  </w:style>
  <w:style w:type="character" w:customStyle="1" w:styleId="197">
    <w:name w:val="链接"/>
    <w:autoRedefine/>
    <w:qFormat/>
    <w:uiPriority w:val="0"/>
    <w:rPr>
      <w:color w:val="0000FF"/>
      <w:sz w:val="21"/>
      <w:szCs w:val="21"/>
      <w:u w:val="single"/>
    </w:rPr>
  </w:style>
  <w:style w:type="character" w:customStyle="1" w:styleId="198">
    <w:name w:val="unnamed31"/>
    <w:autoRedefine/>
    <w:qFormat/>
    <w:uiPriority w:val="0"/>
    <w:rPr>
      <w:rFonts w:ascii="Tahoma" w:hAnsi="Tahoma" w:eastAsia="宋体"/>
      <w:b/>
      <w:kern w:val="2"/>
      <w:sz w:val="24"/>
      <w:szCs w:val="32"/>
      <w:u w:val="none"/>
      <w:lang w:val="en-US" w:eastAsia="zh-CN" w:bidi="ar-SA"/>
    </w:rPr>
  </w:style>
  <w:style w:type="character" w:customStyle="1" w:styleId="199">
    <w:name w:val="正文缩进 Char1"/>
    <w:autoRedefine/>
    <w:qFormat/>
    <w:uiPriority w:val="0"/>
    <w:rPr>
      <w:rFonts w:ascii="宋体" w:eastAsia="宋体"/>
      <w:snapToGrid w:val="0"/>
      <w:color w:val="000000"/>
      <w:kern w:val="28"/>
      <w:sz w:val="28"/>
      <w:lang w:val="en-US" w:eastAsia="zh-CN" w:bidi="ar-SA"/>
    </w:rPr>
  </w:style>
  <w:style w:type="character" w:customStyle="1" w:styleId="200">
    <w:name w:val="unnamed11"/>
    <w:autoRedefine/>
    <w:qFormat/>
    <w:uiPriority w:val="0"/>
    <w:rPr>
      <w:sz w:val="20"/>
      <w:szCs w:val="20"/>
    </w:rPr>
  </w:style>
  <w:style w:type="character" w:customStyle="1" w:styleId="201">
    <w:name w:val="页脚 Char"/>
    <w:autoRedefine/>
    <w:qFormat/>
    <w:uiPriority w:val="99"/>
    <w:rPr>
      <w:rFonts w:eastAsia="仿宋_GB2312"/>
      <w:kern w:val="2"/>
      <w:sz w:val="18"/>
      <w:lang w:val="en-US" w:eastAsia="zh-CN"/>
    </w:rPr>
  </w:style>
  <w:style w:type="character" w:customStyle="1" w:styleId="202">
    <w:name w:val="纯文本 Char"/>
    <w:basedOn w:val="62"/>
    <w:autoRedefine/>
    <w:qFormat/>
    <w:locked/>
    <w:uiPriority w:val="0"/>
    <w:rPr>
      <w:rFonts w:ascii="宋体" w:hAnsi="Courier New" w:eastAsia="宋体"/>
      <w:kern w:val="2"/>
      <w:sz w:val="21"/>
      <w:lang w:bidi="ar-SA"/>
    </w:rPr>
  </w:style>
  <w:style w:type="character" w:customStyle="1" w:styleId="203">
    <w:name w:val="Table Text Char1"/>
    <w:autoRedefine/>
    <w:qFormat/>
    <w:uiPriority w:val="0"/>
    <w:rPr>
      <w:rFonts w:eastAsia="宋体"/>
      <w:sz w:val="24"/>
      <w:szCs w:val="24"/>
      <w:lang w:val="en-US" w:eastAsia="zh-CN" w:bidi="ar-SA"/>
    </w:rPr>
  </w:style>
  <w:style w:type="character" w:customStyle="1" w:styleId="204">
    <w:name w:val="正文首行缩进两字 Char"/>
    <w:autoRedefine/>
    <w:qFormat/>
    <w:uiPriority w:val="0"/>
    <w:rPr>
      <w:sz w:val="24"/>
      <w:szCs w:val="24"/>
      <w:lang w:val="en-US" w:eastAsia="zh-CN" w:bidi="ar-SA"/>
    </w:rPr>
  </w:style>
  <w:style w:type="character" w:customStyle="1" w:styleId="205">
    <w:name w:val=" Char Char3"/>
    <w:autoRedefine/>
    <w:qFormat/>
    <w:uiPriority w:val="0"/>
    <w:rPr>
      <w:rFonts w:eastAsia="宋体"/>
      <w:kern w:val="2"/>
      <w:sz w:val="21"/>
      <w:szCs w:val="24"/>
      <w:lang w:val="en-US" w:eastAsia="zh-CN" w:bidi="ar-SA"/>
    </w:rPr>
  </w:style>
  <w:style w:type="character" w:customStyle="1" w:styleId="206">
    <w:name w:val="Heading 2 Hidden Char"/>
    <w:autoRedefine/>
    <w:qFormat/>
    <w:uiPriority w:val="0"/>
    <w:rPr>
      <w:rFonts w:ascii="仿宋_GB2312" w:eastAsia="仿宋_GB2312"/>
      <w:b/>
      <w:bCs/>
      <w:kern w:val="2"/>
      <w:sz w:val="24"/>
      <w:szCs w:val="24"/>
      <w:lang w:val="zh-CN" w:eastAsia="zh-CN" w:bidi="ar-SA"/>
    </w:rPr>
  </w:style>
  <w:style w:type="character" w:customStyle="1" w:styleId="207">
    <w:name w:val="样式4 Char"/>
    <w:autoRedefine/>
    <w:qFormat/>
    <w:uiPriority w:val="0"/>
    <w:rPr>
      <w:rFonts w:ascii="仿宋_GB2312" w:hAnsi="仿宋" w:eastAsia="仿宋_GB2312"/>
      <w:b/>
      <w:kern w:val="2"/>
      <w:sz w:val="32"/>
      <w:szCs w:val="32"/>
      <w:lang w:bidi="ar-SA"/>
    </w:rPr>
  </w:style>
  <w:style w:type="character" w:customStyle="1" w:styleId="208">
    <w:name w:val="message1"/>
    <w:autoRedefine/>
    <w:qFormat/>
    <w:uiPriority w:val="0"/>
    <w:rPr>
      <w:rFonts w:hint="default" w:ascii="Tahoma" w:hAnsi="Tahoma" w:cs="Tahoma"/>
      <w:sz w:val="18"/>
      <w:szCs w:val="18"/>
    </w:rPr>
  </w:style>
  <w:style w:type="character" w:customStyle="1" w:styleId="209">
    <w:name w:val="big1"/>
    <w:autoRedefine/>
    <w:qFormat/>
    <w:uiPriority w:val="0"/>
    <w:rPr>
      <w:rFonts w:hint="eastAsia" w:ascii="宋体" w:hAnsi="宋体" w:eastAsia="宋体"/>
      <w:color w:val="333333"/>
      <w:sz w:val="22"/>
      <w:szCs w:val="22"/>
    </w:rPr>
  </w:style>
  <w:style w:type="character" w:customStyle="1" w:styleId="210">
    <w:name w:val="pt9"/>
    <w:autoRedefine/>
    <w:qFormat/>
    <w:uiPriority w:val="0"/>
    <w:rPr>
      <w:rFonts w:ascii="仿宋_GB2312" w:eastAsia="微软雅黑"/>
      <w:b/>
      <w:kern w:val="2"/>
      <w:sz w:val="32"/>
      <w:szCs w:val="32"/>
      <w:lang w:val="en-US" w:eastAsia="zh-CN" w:bidi="ar-SA"/>
    </w:rPr>
  </w:style>
  <w:style w:type="character" w:customStyle="1" w:styleId="211">
    <w:name w:val="标题 3 Char2"/>
    <w:autoRedefine/>
    <w:qFormat/>
    <w:uiPriority w:val="0"/>
    <w:rPr>
      <w:rFonts w:eastAsia="宋体"/>
      <w:b/>
      <w:bCs/>
      <w:kern w:val="2"/>
      <w:sz w:val="32"/>
      <w:szCs w:val="32"/>
      <w:lang w:val="en-US" w:eastAsia="zh-CN" w:bidi="ar-SA"/>
    </w:rPr>
  </w:style>
  <w:style w:type="character" w:customStyle="1" w:styleId="212">
    <w:name w:val="正文非缩进 Char3"/>
    <w:autoRedefine/>
    <w:qFormat/>
    <w:uiPriority w:val="0"/>
    <w:rPr>
      <w:rFonts w:ascii="宋体" w:eastAsia="宋体"/>
      <w:snapToGrid w:val="0"/>
      <w:color w:val="000000"/>
      <w:kern w:val="28"/>
      <w:sz w:val="28"/>
      <w:lang w:val="en-US" w:eastAsia="zh-CN" w:bidi="ar-SA"/>
    </w:rPr>
  </w:style>
  <w:style w:type="character" w:customStyle="1" w:styleId="213">
    <w:name w:val="zbggmain style9"/>
    <w:autoRedefine/>
    <w:qFormat/>
    <w:uiPriority w:val="0"/>
  </w:style>
  <w:style w:type="character" w:customStyle="1" w:styleId="214">
    <w:name w:val=" Char Char4"/>
    <w:autoRedefine/>
    <w:qFormat/>
    <w:uiPriority w:val="0"/>
    <w:rPr>
      <w:rFonts w:eastAsia="宋体"/>
      <w:b/>
      <w:sz w:val="24"/>
      <w:lang w:val="en-GB" w:eastAsia="zh-CN" w:bidi="ar-SA"/>
    </w:rPr>
  </w:style>
  <w:style w:type="character" w:customStyle="1" w:styleId="215">
    <w:name w:val="c7 style3"/>
    <w:autoRedefine/>
    <w:qFormat/>
    <w:uiPriority w:val="0"/>
  </w:style>
  <w:style w:type="character" w:customStyle="1" w:styleId="216">
    <w:name w:val="Char Char6"/>
    <w:autoRedefine/>
    <w:qFormat/>
    <w:uiPriority w:val="0"/>
    <w:rPr>
      <w:rFonts w:eastAsia="宋体"/>
      <w:kern w:val="2"/>
      <w:sz w:val="21"/>
      <w:szCs w:val="24"/>
      <w:lang w:val="en-US" w:eastAsia="zh-CN" w:bidi="ar-SA"/>
    </w:rPr>
  </w:style>
  <w:style w:type="character" w:customStyle="1" w:styleId="217">
    <w:name w:val=" Char Char7"/>
    <w:autoRedefine/>
    <w:semiHidden/>
    <w:qFormat/>
    <w:uiPriority w:val="0"/>
    <w:rPr>
      <w:rFonts w:eastAsia="宋体"/>
      <w:kern w:val="2"/>
      <w:sz w:val="21"/>
      <w:szCs w:val="24"/>
      <w:lang w:val="en-US" w:eastAsia="zh-CN" w:bidi="ar-SA"/>
    </w:rPr>
  </w:style>
  <w:style w:type="character" w:customStyle="1" w:styleId="218">
    <w:name w:val="标书表格字体格式 Char"/>
    <w:autoRedefine/>
    <w:qFormat/>
    <w:uiPriority w:val="0"/>
    <w:rPr>
      <w:kern w:val="2"/>
      <w:sz w:val="21"/>
      <w:szCs w:val="24"/>
      <w:lang w:bidi="ar-SA"/>
    </w:rPr>
  </w:style>
  <w:style w:type="character" w:customStyle="1" w:styleId="219">
    <w:name w:val="普通文字 Char3"/>
    <w:autoRedefine/>
    <w:qFormat/>
    <w:uiPriority w:val="0"/>
    <w:rPr>
      <w:rFonts w:ascii="宋体" w:hAnsi="Courier New" w:eastAsia="宋体"/>
      <w:kern w:val="2"/>
      <w:sz w:val="21"/>
      <w:lang w:val="en-US" w:eastAsia="zh-CN" w:bidi="ar-SA"/>
    </w:rPr>
  </w:style>
  <w:style w:type="character" w:customStyle="1" w:styleId="220">
    <w:name w:val="标题 4 Char1"/>
    <w:autoRedefine/>
    <w:semiHidden/>
    <w:qFormat/>
    <w:uiPriority w:val="9"/>
    <w:rPr>
      <w:rFonts w:ascii="Cambria" w:hAnsi="Cambria" w:eastAsia="宋体" w:cs="Times New Roman"/>
      <w:b/>
      <w:bCs/>
      <w:kern w:val="2"/>
      <w:sz w:val="28"/>
      <w:szCs w:val="28"/>
    </w:rPr>
  </w:style>
  <w:style w:type="character" w:customStyle="1" w:styleId="221">
    <w:name w:val="方案正文 Char"/>
    <w:autoRedefine/>
    <w:qFormat/>
    <w:uiPriority w:val="0"/>
    <w:rPr>
      <w:rFonts w:ascii="仿宋_GB2312" w:eastAsia="仿宋_GB2312"/>
      <w:b/>
      <w:color w:val="000000"/>
      <w:kern w:val="2"/>
      <w:sz w:val="24"/>
      <w:lang w:val="en-US" w:eastAsia="zh-CN" w:bidi="ar-SA"/>
    </w:rPr>
  </w:style>
  <w:style w:type="character" w:customStyle="1" w:styleId="222">
    <w:name w:val="apple-converted-space"/>
    <w:autoRedefine/>
    <w:qFormat/>
    <w:uiPriority w:val="0"/>
  </w:style>
  <w:style w:type="character" w:customStyle="1" w:styleId="223">
    <w:name w:val="tw4winInternal"/>
    <w:autoRedefine/>
    <w:qFormat/>
    <w:uiPriority w:val="0"/>
    <w:rPr>
      <w:rFonts w:ascii="Courier New" w:hAnsi="Courier New" w:cs="Courier New"/>
      <w:color w:val="FF0000"/>
    </w:rPr>
  </w:style>
  <w:style w:type="character" w:customStyle="1" w:styleId="224">
    <w:name w:val=" Char Char12"/>
    <w:autoRedefine/>
    <w:qFormat/>
    <w:uiPriority w:val="0"/>
    <w:rPr>
      <w:rFonts w:ascii="仿宋_GB2312" w:eastAsia="仿宋_GB2312"/>
      <w:b/>
      <w:bCs/>
      <w:kern w:val="2"/>
      <w:sz w:val="24"/>
      <w:szCs w:val="24"/>
      <w:lang w:val="zh-CN" w:eastAsia="zh-CN" w:bidi="ar-SA"/>
    </w:rPr>
  </w:style>
  <w:style w:type="character" w:customStyle="1" w:styleId="225">
    <w:name w:val="正文文本缩进 Char"/>
    <w:autoRedefine/>
    <w:qFormat/>
    <w:uiPriority w:val="0"/>
    <w:rPr>
      <w:rFonts w:ascii="宋体" w:hAnsi="宋体"/>
      <w:kern w:val="2"/>
      <w:sz w:val="24"/>
      <w:szCs w:val="24"/>
    </w:rPr>
  </w:style>
  <w:style w:type="character" w:customStyle="1" w:styleId="226">
    <w:name w:val="t21"/>
    <w:autoRedefine/>
    <w:qFormat/>
    <w:uiPriority w:val="0"/>
    <w:rPr>
      <w:rFonts w:ascii="仿宋_GB2312" w:eastAsia="微软雅黑"/>
      <w:b/>
      <w:kern w:val="2"/>
      <w:sz w:val="23"/>
      <w:szCs w:val="23"/>
      <w:lang w:val="en-US" w:eastAsia="zh-CN" w:bidi="ar-SA"/>
    </w:rPr>
  </w:style>
  <w:style w:type="character" w:customStyle="1" w:styleId="227">
    <w:name w:val="PI Char"/>
    <w:autoRedefine/>
    <w:qFormat/>
    <w:uiPriority w:val="0"/>
    <w:rPr>
      <w:rFonts w:ascii="宋体" w:hAnsi="宋体" w:eastAsia="宋体"/>
      <w:kern w:val="2"/>
      <w:sz w:val="24"/>
      <w:szCs w:val="24"/>
      <w:lang w:val="en-US" w:eastAsia="zh-CN" w:bidi="ar-SA"/>
    </w:rPr>
  </w:style>
  <w:style w:type="character" w:customStyle="1" w:styleId="228">
    <w:name w:val="正文 项目2 Char"/>
    <w:basedOn w:val="229"/>
    <w:autoRedefine/>
    <w:qFormat/>
    <w:uiPriority w:val="0"/>
  </w:style>
  <w:style w:type="character" w:customStyle="1" w:styleId="229">
    <w:name w:val="正文 项目 Char"/>
    <w:autoRedefine/>
    <w:qFormat/>
    <w:uiPriority w:val="0"/>
    <w:rPr>
      <w:rFonts w:ascii="仿宋_GB2312" w:hAnsi="仿宋_GB2312" w:eastAsia="仿宋_GB2312"/>
      <w:kern w:val="2"/>
      <w:sz w:val="24"/>
      <w:lang w:bidi="ar-SA"/>
    </w:rPr>
  </w:style>
  <w:style w:type="character" w:customStyle="1" w:styleId="230">
    <w:name w:val="highlight1"/>
    <w:autoRedefine/>
    <w:qFormat/>
    <w:uiPriority w:val="0"/>
    <w:rPr>
      <w:rFonts w:ascii="仿宋_GB2312" w:eastAsia="微软雅黑"/>
      <w:b/>
      <w:kern w:val="2"/>
      <w:sz w:val="23"/>
      <w:szCs w:val="23"/>
      <w:lang w:val="en-US" w:eastAsia="zh-CN" w:bidi="ar-SA"/>
    </w:rPr>
  </w:style>
  <w:style w:type="character" w:customStyle="1" w:styleId="231">
    <w:name w:val="页脚 Char1"/>
    <w:autoRedefine/>
    <w:qFormat/>
    <w:uiPriority w:val="0"/>
    <w:rPr>
      <w:rFonts w:eastAsia="宋体"/>
      <w:kern w:val="2"/>
      <w:sz w:val="18"/>
      <w:szCs w:val="18"/>
      <w:lang w:val="en-US" w:eastAsia="zh-CN" w:bidi="ar-SA"/>
    </w:rPr>
  </w:style>
  <w:style w:type="character" w:customStyle="1" w:styleId="232">
    <w:name w:val="哈哈正文 Char"/>
    <w:link w:val="233"/>
    <w:autoRedefine/>
    <w:qFormat/>
    <w:uiPriority w:val="0"/>
    <w:rPr>
      <w:rFonts w:ascii="宋体" w:hAnsi="宋体" w:eastAsia="宋体"/>
      <w:kern w:val="2"/>
      <w:sz w:val="24"/>
      <w:lang w:bidi="ar-SA"/>
    </w:rPr>
  </w:style>
  <w:style w:type="paragraph" w:customStyle="1" w:styleId="233">
    <w:name w:val="哈哈正文"/>
    <w:basedOn w:val="1"/>
    <w:link w:val="232"/>
    <w:autoRedefine/>
    <w:qFormat/>
    <w:uiPriority w:val="0"/>
    <w:pPr>
      <w:adjustRightInd/>
      <w:spacing w:line="360" w:lineRule="auto"/>
      <w:ind w:firstLine="200" w:firstLineChars="200"/>
    </w:pPr>
    <w:rPr>
      <w:rFonts w:ascii="宋体" w:hAnsi="宋体"/>
      <w:sz w:val="24"/>
      <w:szCs w:val="20"/>
    </w:rPr>
  </w:style>
  <w:style w:type="character" w:customStyle="1" w:styleId="234">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235">
    <w:name w:val="Char Char5"/>
    <w:autoRedefine/>
    <w:qFormat/>
    <w:uiPriority w:val="0"/>
    <w:rPr>
      <w:rFonts w:ascii="宋体" w:hAnsi="Courier New" w:eastAsia="宋体"/>
      <w:kern w:val="2"/>
      <w:sz w:val="21"/>
      <w:lang w:val="en-US" w:eastAsia="zh-CN"/>
    </w:rPr>
  </w:style>
  <w:style w:type="character" w:customStyle="1" w:styleId="236">
    <w:name w:val="h3 Char"/>
    <w:autoRedefine/>
    <w:qFormat/>
    <w:uiPriority w:val="0"/>
    <w:rPr>
      <w:rFonts w:eastAsia="宋体"/>
      <w:b/>
      <w:kern w:val="2"/>
      <w:sz w:val="32"/>
      <w:lang w:val="en-US" w:eastAsia="zh-CN" w:bidi="ar-SA"/>
    </w:rPr>
  </w:style>
  <w:style w:type="character" w:customStyle="1" w:styleId="237">
    <w:name w:val="Footer-Even Char1"/>
    <w:autoRedefine/>
    <w:qFormat/>
    <w:uiPriority w:val="0"/>
    <w:rPr>
      <w:rFonts w:eastAsia="宋体"/>
      <w:kern w:val="2"/>
      <w:sz w:val="18"/>
      <w:szCs w:val="18"/>
      <w:lang w:val="en-US" w:eastAsia="zh-CN" w:bidi="ar-SA"/>
    </w:rPr>
  </w:style>
  <w:style w:type="character" w:customStyle="1" w:styleId="238">
    <w:name w:val="公文正文 Char"/>
    <w:autoRedefine/>
    <w:qFormat/>
    <w:uiPriority w:val="0"/>
    <w:rPr>
      <w:rFonts w:ascii="仿宋_GB2312" w:eastAsia="仿宋_GB2312"/>
      <w:kern w:val="2"/>
      <w:sz w:val="24"/>
      <w:szCs w:val="24"/>
      <w:lang w:val="en-US" w:eastAsia="zh-CN" w:bidi="ar-SA"/>
    </w:rPr>
  </w:style>
  <w:style w:type="character" w:customStyle="1" w:styleId="239">
    <w:name w:val=" Char Char10"/>
    <w:autoRedefine/>
    <w:semiHidden/>
    <w:qFormat/>
    <w:uiPriority w:val="0"/>
    <w:rPr>
      <w:rFonts w:ascii="宋体" w:hAnsi="宋体"/>
      <w:kern w:val="2"/>
      <w:sz w:val="21"/>
      <w:szCs w:val="24"/>
    </w:rPr>
  </w:style>
  <w:style w:type="character" w:customStyle="1" w:styleId="240">
    <w:name w:val="Font Style82"/>
    <w:autoRedefine/>
    <w:qFormat/>
    <w:uiPriority w:val="99"/>
    <w:rPr>
      <w:rFonts w:ascii="宋体" w:eastAsia="宋体" w:cs="宋体"/>
      <w:color w:val="000000"/>
      <w:sz w:val="14"/>
      <w:szCs w:val="14"/>
    </w:rPr>
  </w:style>
  <w:style w:type="character" w:customStyle="1" w:styleId="241">
    <w:name w:val="文本正文 Char Char"/>
    <w:autoRedefine/>
    <w:qFormat/>
    <w:locked/>
    <w:uiPriority w:val="0"/>
    <w:rPr>
      <w:sz w:val="24"/>
      <w:lang w:bidi="ar-SA"/>
    </w:rPr>
  </w:style>
  <w:style w:type="character" w:customStyle="1" w:styleId="242">
    <w:name w:val="gray6"/>
    <w:basedOn w:val="62"/>
    <w:autoRedefine/>
    <w:qFormat/>
    <w:uiPriority w:val="0"/>
  </w:style>
  <w:style w:type="character" w:customStyle="1" w:styleId="243">
    <w:name w:val="标书1 Char"/>
    <w:autoRedefine/>
    <w:qFormat/>
    <w:uiPriority w:val="0"/>
    <w:rPr>
      <w:rFonts w:eastAsia="宋体"/>
      <w:b/>
      <w:bCs/>
      <w:kern w:val="44"/>
      <w:sz w:val="44"/>
      <w:szCs w:val="44"/>
      <w:lang w:val="en-US" w:eastAsia="zh-CN" w:bidi="ar-SA"/>
    </w:rPr>
  </w:style>
  <w:style w:type="character" w:customStyle="1" w:styleId="244">
    <w:name w:val="h Char Char"/>
    <w:autoRedefine/>
    <w:qFormat/>
    <w:uiPriority w:val="0"/>
    <w:rPr>
      <w:rFonts w:eastAsia="宋体"/>
      <w:kern w:val="2"/>
      <w:sz w:val="18"/>
      <w:lang w:val="en-US" w:eastAsia="zh-CN" w:bidi="ar-SA"/>
    </w:rPr>
  </w:style>
  <w:style w:type="character" w:customStyle="1" w:styleId="245">
    <w:name w:val="solutionfonts"/>
    <w:autoRedefine/>
    <w:qFormat/>
    <w:uiPriority w:val="0"/>
  </w:style>
  <w:style w:type="character" w:customStyle="1" w:styleId="246">
    <w:name w:val="Ò³Ã¼ Char Char"/>
    <w:autoRedefine/>
    <w:qFormat/>
    <w:uiPriority w:val="0"/>
    <w:rPr>
      <w:rFonts w:eastAsia="宋体"/>
      <w:kern w:val="2"/>
      <w:sz w:val="18"/>
      <w:lang w:val="en-US" w:eastAsia="zh-CN" w:bidi="ar-SA"/>
    </w:rPr>
  </w:style>
  <w:style w:type="character" w:customStyle="1" w:styleId="247">
    <w:name w:val="样式3 Char"/>
    <w:basedOn w:val="188"/>
    <w:autoRedefine/>
    <w:qFormat/>
    <w:uiPriority w:val="0"/>
  </w:style>
  <w:style w:type="character" w:customStyle="1" w:styleId="248">
    <w:name w:val="正文（缩进2汉字） Char"/>
    <w:link w:val="249"/>
    <w:autoRedefine/>
    <w:qFormat/>
    <w:uiPriority w:val="0"/>
    <w:rPr>
      <w:rFonts w:ascii="宋体"/>
    </w:rPr>
  </w:style>
  <w:style w:type="paragraph" w:customStyle="1" w:styleId="249">
    <w:name w:val="正文（缩进2汉字）"/>
    <w:basedOn w:val="1"/>
    <w:link w:val="248"/>
    <w:autoRedefine/>
    <w:qFormat/>
    <w:uiPriority w:val="0"/>
    <w:pPr>
      <w:tabs>
        <w:tab w:val="left" w:pos="525"/>
      </w:tabs>
      <w:adjustRightInd/>
      <w:spacing w:before="100" w:beforeLines="0" w:beforeAutospacing="1" w:after="100" w:afterLines="0" w:afterAutospacing="1"/>
      <w:ind w:left="120" w:leftChars="50" w:firstLine="494" w:firstLineChars="206"/>
    </w:pPr>
    <w:rPr>
      <w:rFonts w:ascii="宋体"/>
      <w:kern w:val="0"/>
      <w:sz w:val="20"/>
      <w:szCs w:val="20"/>
    </w:rPr>
  </w:style>
  <w:style w:type="character" w:customStyle="1" w:styleId="250">
    <w:name w:val="标题 Char"/>
    <w:autoRedefine/>
    <w:qFormat/>
    <w:uiPriority w:val="0"/>
    <w:rPr>
      <w:rFonts w:eastAsia="宋体"/>
      <w:b/>
      <w:sz w:val="24"/>
      <w:lang w:val="en-GB" w:eastAsia="zh-CN" w:bidi="ar-SA"/>
    </w:rPr>
  </w:style>
  <w:style w:type="character" w:customStyle="1" w:styleId="251">
    <w:name w:val="px14"/>
    <w:autoRedefine/>
    <w:qFormat/>
    <w:uiPriority w:val="0"/>
    <w:rPr>
      <w:rFonts w:ascii="仿宋_GB2312" w:eastAsia="微软雅黑" w:cs="Times New Roman"/>
      <w:b/>
      <w:kern w:val="2"/>
      <w:sz w:val="32"/>
      <w:szCs w:val="32"/>
      <w:lang w:val="en-US" w:eastAsia="zh-CN" w:bidi="ar-SA"/>
    </w:rPr>
  </w:style>
  <w:style w:type="character" w:customStyle="1" w:styleId="252">
    <w:name w:val="Normal Indent Char Char"/>
    <w:autoRedefine/>
    <w:qFormat/>
    <w:uiPriority w:val="0"/>
    <w:rPr>
      <w:rFonts w:eastAsia="宋体"/>
      <w:kern w:val="2"/>
      <w:sz w:val="21"/>
      <w:lang w:val="en-US" w:eastAsia="zh-CN" w:bidi="ar-SA"/>
    </w:rPr>
  </w:style>
  <w:style w:type="character" w:customStyle="1" w:styleId="253">
    <w:name w:val="正文2 Char Char"/>
    <w:link w:val="254"/>
    <w:autoRedefine/>
    <w:qFormat/>
    <w:uiPriority w:val="0"/>
    <w:rPr>
      <w:rFonts w:eastAsia="宋体"/>
      <w:kern w:val="2"/>
      <w:sz w:val="24"/>
      <w:lang w:val="en-US" w:eastAsia="zh-CN" w:bidi="ar-SA"/>
    </w:rPr>
  </w:style>
  <w:style w:type="paragraph" w:customStyle="1" w:styleId="254">
    <w:name w:val="正文2"/>
    <w:basedOn w:val="1"/>
    <w:link w:val="253"/>
    <w:autoRedefine/>
    <w:qFormat/>
    <w:uiPriority w:val="0"/>
    <w:pPr>
      <w:spacing w:before="156" w:beforeLines="0" w:line="360" w:lineRule="auto"/>
      <w:ind w:firstLine="510" w:firstLineChars="200"/>
    </w:pPr>
    <w:rPr>
      <w:sz w:val="24"/>
      <w:szCs w:val="20"/>
    </w:rPr>
  </w:style>
  <w:style w:type="character" w:customStyle="1" w:styleId="255">
    <w:name w:val="带编号样式 Char"/>
    <w:autoRedefine/>
    <w:qFormat/>
    <w:uiPriority w:val="0"/>
    <w:rPr>
      <w:rFonts w:ascii="仿宋_GB2312" w:eastAsia="仿宋_GB2312"/>
      <w:color w:val="000000"/>
      <w:sz w:val="24"/>
      <w:lang w:bidi="ar-SA"/>
    </w:rPr>
  </w:style>
  <w:style w:type="character" w:customStyle="1" w:styleId="256">
    <w:name w:val=" Char Char6"/>
    <w:autoRedefine/>
    <w:qFormat/>
    <w:uiPriority w:val="0"/>
    <w:rPr>
      <w:rFonts w:eastAsia="宋体"/>
      <w:kern w:val="2"/>
      <w:sz w:val="21"/>
      <w:szCs w:val="24"/>
      <w:lang w:val="en-US" w:eastAsia="zh-CN" w:bidi="ar-SA"/>
    </w:rPr>
  </w:style>
  <w:style w:type="character" w:customStyle="1" w:styleId="257">
    <w:name w:val="myp11"/>
    <w:autoRedefine/>
    <w:qFormat/>
    <w:uiPriority w:val="0"/>
    <w:rPr>
      <w:rFonts w:ascii="仿宋_GB2312" w:eastAsia="微软雅黑"/>
      <w:b/>
      <w:kern w:val="2"/>
      <w:sz w:val="32"/>
      <w:szCs w:val="32"/>
      <w:lang w:val="en-US" w:eastAsia="zh-CN" w:bidi="ar-SA"/>
    </w:rPr>
  </w:style>
  <w:style w:type="character" w:customStyle="1" w:styleId="258">
    <w:name w:val="No Spacing Char"/>
    <w:link w:val="259"/>
    <w:autoRedefine/>
    <w:qFormat/>
    <w:uiPriority w:val="0"/>
    <w:rPr>
      <w:sz w:val="22"/>
      <w:szCs w:val="22"/>
      <w:lang w:val="en-US" w:eastAsia="zh-CN" w:bidi="ar-SA"/>
    </w:rPr>
  </w:style>
  <w:style w:type="paragraph" w:customStyle="1" w:styleId="259">
    <w:name w:val="无间隔1"/>
    <w:link w:val="258"/>
    <w:autoRedefine/>
    <w:qFormat/>
    <w:uiPriority w:val="0"/>
    <w:rPr>
      <w:rFonts w:ascii="Times New Roman" w:hAnsi="Times New Roman" w:eastAsia="宋体" w:cs="Times New Roman"/>
      <w:sz w:val="22"/>
      <w:szCs w:val="22"/>
      <w:lang w:val="en-US" w:eastAsia="zh-CN" w:bidi="ar-SA"/>
    </w:rPr>
  </w:style>
  <w:style w:type="character" w:customStyle="1" w:styleId="260">
    <w:name w:val="Used by Word for text of Help footnotes Char Char"/>
    <w:autoRedefine/>
    <w:semiHidden/>
    <w:qFormat/>
    <w:uiPriority w:val="0"/>
    <w:rPr>
      <w:rFonts w:ascii="Times New Roman" w:hAnsi="Times New Roman" w:eastAsia="宋体" w:cs="Times New Roman"/>
      <w:sz w:val="20"/>
      <w:szCs w:val="20"/>
    </w:rPr>
  </w:style>
  <w:style w:type="character" w:customStyle="1" w:styleId="261">
    <w:name w:val="批注主题 Char"/>
    <w:autoRedefine/>
    <w:qFormat/>
    <w:uiPriority w:val="0"/>
    <w:rPr>
      <w:rFonts w:eastAsia="宋体"/>
      <w:b/>
      <w:bCs/>
      <w:kern w:val="2"/>
      <w:sz w:val="21"/>
      <w:szCs w:val="24"/>
      <w:lang w:val="en-US" w:eastAsia="zh-CN" w:bidi="ar-SA"/>
    </w:rPr>
  </w:style>
  <w:style w:type="character" w:customStyle="1" w:styleId="262">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63">
    <w:name w:val="样式7 Char"/>
    <w:autoRedefine/>
    <w:qFormat/>
    <w:uiPriority w:val="0"/>
    <w:rPr>
      <w:rFonts w:ascii="仿宋_GB2312" w:hAnsi="仿宋" w:eastAsia="仿宋_GB2312"/>
      <w:b/>
      <w:kern w:val="2"/>
      <w:sz w:val="24"/>
      <w:szCs w:val="24"/>
    </w:rPr>
  </w:style>
  <w:style w:type="character" w:customStyle="1" w:styleId="264">
    <w:name w:val="正文2 Char"/>
    <w:autoRedefine/>
    <w:qFormat/>
    <w:uiPriority w:val="0"/>
    <w:rPr>
      <w:rFonts w:eastAsia="宋体"/>
      <w:kern w:val="2"/>
      <w:sz w:val="24"/>
      <w:lang w:val="en-US" w:eastAsia="zh-CN" w:bidi="ar-SA"/>
    </w:rPr>
  </w:style>
  <w:style w:type="character" w:customStyle="1" w:styleId="265">
    <w:name w:val="正文1 Char"/>
    <w:autoRedefine/>
    <w:qFormat/>
    <w:uiPriority w:val="0"/>
    <w:rPr>
      <w:rFonts w:ascii="宋体" w:eastAsia="宋体"/>
      <w:snapToGrid w:val="0"/>
      <w:color w:val="000000"/>
      <w:kern w:val="28"/>
      <w:sz w:val="28"/>
      <w:lang w:val="en-US" w:eastAsia="zh-CN" w:bidi="ar-SA"/>
    </w:rPr>
  </w:style>
  <w:style w:type="character" w:customStyle="1" w:styleId="266">
    <w:name w:val="tw4winError"/>
    <w:autoRedefine/>
    <w:qFormat/>
    <w:uiPriority w:val="0"/>
    <w:rPr>
      <w:rFonts w:ascii="Courier New" w:hAnsi="Courier New" w:cs="Courier New"/>
      <w:color w:val="00FF00"/>
      <w:sz w:val="40"/>
      <w:szCs w:val="40"/>
    </w:rPr>
  </w:style>
  <w:style w:type="character" w:customStyle="1" w:styleId="267">
    <w:name w:val="标题 2 Char"/>
    <w:autoRedefine/>
    <w:qFormat/>
    <w:uiPriority w:val="0"/>
    <w:rPr>
      <w:rFonts w:ascii="Arial" w:hAnsi="Arial" w:eastAsia="黑体"/>
      <w:b/>
      <w:kern w:val="2"/>
      <w:sz w:val="32"/>
      <w:lang w:val="en-US" w:eastAsia="zh-CN"/>
    </w:rPr>
  </w:style>
  <w:style w:type="character" w:customStyle="1" w:styleId="268">
    <w:name w:val="tw4winExternal"/>
    <w:autoRedefine/>
    <w:qFormat/>
    <w:uiPriority w:val="0"/>
    <w:rPr>
      <w:rFonts w:ascii="Courier New" w:hAnsi="Courier New" w:cs="Courier New"/>
      <w:color w:val="808080"/>
    </w:rPr>
  </w:style>
  <w:style w:type="character" w:customStyle="1" w:styleId="269">
    <w:name w:val="样式8 Char"/>
    <w:autoRedefine/>
    <w:qFormat/>
    <w:uiPriority w:val="0"/>
    <w:rPr>
      <w:rFonts w:ascii="仿宋_GB2312" w:hAnsi="宋体" w:eastAsia="仿宋_GB2312"/>
      <w:b/>
      <w:bCs/>
      <w:kern w:val="2"/>
      <w:sz w:val="24"/>
      <w:szCs w:val="24"/>
    </w:rPr>
  </w:style>
  <w:style w:type="character" w:customStyle="1" w:styleId="270">
    <w:name w:val="Char Char4"/>
    <w:autoRedefine/>
    <w:qFormat/>
    <w:uiPriority w:val="0"/>
    <w:rPr>
      <w:rFonts w:eastAsia="宋体"/>
      <w:b/>
      <w:sz w:val="24"/>
      <w:lang w:val="en-GB" w:eastAsia="zh-CN" w:bidi="ar-SA"/>
    </w:rPr>
  </w:style>
  <w:style w:type="character" w:customStyle="1" w:styleId="271">
    <w:name w:val="Char Char9"/>
    <w:autoRedefine/>
    <w:qFormat/>
    <w:uiPriority w:val="0"/>
    <w:rPr>
      <w:rFonts w:ascii="Times New Roman" w:hAnsi="Times New Roman" w:eastAsia="宋体" w:cs="Times New Roman"/>
      <w:b/>
      <w:bCs/>
      <w:kern w:val="2"/>
      <w:sz w:val="32"/>
      <w:szCs w:val="32"/>
      <w:lang w:val="en-US" w:eastAsia="zh-CN" w:bidi="ar-SA"/>
    </w:rPr>
  </w:style>
  <w:style w:type="character" w:customStyle="1" w:styleId="272">
    <w:name w:val="正文 编号 Char"/>
    <w:autoRedefine/>
    <w:qFormat/>
    <w:uiPriority w:val="0"/>
    <w:rPr>
      <w:rFonts w:ascii="仿宋_GB2312" w:hAnsi="仿宋_GB2312" w:eastAsia="仿宋_GB2312"/>
      <w:kern w:val="2"/>
      <w:sz w:val="24"/>
      <w:lang w:bidi="ar-SA"/>
    </w:rPr>
  </w:style>
  <w:style w:type="character" w:customStyle="1" w:styleId="273">
    <w:name w:val="tw4winMark"/>
    <w:autoRedefine/>
    <w:qFormat/>
    <w:uiPriority w:val="0"/>
    <w:rPr>
      <w:rFonts w:ascii="Courier New" w:hAnsi="Courier New" w:cs="Courier New"/>
      <w:vanish/>
      <w:color w:val="800080"/>
      <w:sz w:val="24"/>
      <w:szCs w:val="24"/>
      <w:vertAlign w:val="subscript"/>
    </w:rPr>
  </w:style>
  <w:style w:type="character" w:customStyle="1" w:styleId="274">
    <w:name w:val="正文文本 2 Char"/>
    <w:autoRedefine/>
    <w:qFormat/>
    <w:uiPriority w:val="0"/>
    <w:rPr>
      <w:rFonts w:eastAsia="宋体"/>
      <w:kern w:val="2"/>
      <w:sz w:val="21"/>
      <w:szCs w:val="24"/>
      <w:lang w:val="en-US" w:eastAsia="zh-CN" w:bidi="ar-SA"/>
    </w:rPr>
  </w:style>
  <w:style w:type="character" w:customStyle="1" w:styleId="275">
    <w:name w:val="font61"/>
    <w:basedOn w:val="62"/>
    <w:autoRedefine/>
    <w:qFormat/>
    <w:uiPriority w:val="0"/>
    <w:rPr>
      <w:rFonts w:hint="default" w:ascii="Arial" w:hAnsi="Arial" w:cs="Arial"/>
      <w:color w:val="000000"/>
      <w:sz w:val="22"/>
      <w:szCs w:val="22"/>
      <w:u w:val="none"/>
    </w:rPr>
  </w:style>
  <w:style w:type="character" w:customStyle="1" w:styleId="276">
    <w:name w:val="正文首行缩进 Char Char Char Char Char Char"/>
    <w:autoRedefine/>
    <w:qFormat/>
    <w:uiPriority w:val="0"/>
    <w:rPr>
      <w:rFonts w:ascii="宋体" w:eastAsia="宋体"/>
      <w:kern w:val="2"/>
      <w:sz w:val="24"/>
      <w:lang w:val="zh-CN" w:bidi="ar-SA"/>
    </w:rPr>
  </w:style>
  <w:style w:type="character" w:customStyle="1" w:styleId="277">
    <w:name w:val="md"/>
    <w:basedOn w:val="62"/>
    <w:autoRedefine/>
    <w:qFormat/>
    <w:uiPriority w:val="0"/>
  </w:style>
  <w:style w:type="character" w:customStyle="1" w:styleId="278">
    <w:name w:val="Bold"/>
    <w:autoRedefine/>
    <w:qFormat/>
    <w:uiPriority w:val="0"/>
    <w:rPr>
      <w:rFonts w:ascii="Arial" w:hAnsi="Arial" w:eastAsia="黑体" w:cs="Times New Roman"/>
      <w:b/>
      <w:kern w:val="2"/>
      <w:sz w:val="32"/>
      <w:szCs w:val="32"/>
      <w:lang w:val="en-US" w:eastAsia="zh-CN" w:bidi="ar-SA"/>
    </w:rPr>
  </w:style>
  <w:style w:type="paragraph" w:customStyle="1" w:styleId="279">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280">
    <w:name w:val="Char Char Char Char Char Char Char Char"/>
    <w:basedOn w:val="1"/>
    <w:autoRedefine/>
    <w:qFormat/>
    <w:uiPriority w:val="0"/>
    <w:pPr>
      <w:tabs>
        <w:tab w:val="left" w:pos="360"/>
      </w:tabs>
    </w:pPr>
    <w:rPr>
      <w:sz w:val="24"/>
      <w:szCs w:val="20"/>
    </w:rPr>
  </w:style>
  <w:style w:type="paragraph" w:customStyle="1" w:styleId="281">
    <w:name w:val="正文21"/>
    <w:basedOn w:val="1"/>
    <w:autoRedefine/>
    <w:qFormat/>
    <w:uiPriority w:val="0"/>
    <w:pPr>
      <w:adjustRightInd/>
      <w:spacing w:before="156" w:beforeLines="0" w:line="360" w:lineRule="auto"/>
      <w:ind w:firstLine="510" w:firstLineChars="200"/>
    </w:pPr>
    <w:rPr>
      <w:sz w:val="24"/>
      <w:szCs w:val="20"/>
    </w:rPr>
  </w:style>
  <w:style w:type="paragraph" w:customStyle="1" w:styleId="282">
    <w:name w:val="subhead"/>
    <w:autoRedefine/>
    <w:qFormat/>
    <w:uiPriority w:val="0"/>
    <w:pPr>
      <w:spacing w:after="120" w:line="300" w:lineRule="exact"/>
    </w:pPr>
    <w:rPr>
      <w:rFonts w:ascii="Arial" w:hAnsi="Arial" w:eastAsia="宋体" w:cs="Times New Roman"/>
      <w:b/>
      <w:sz w:val="26"/>
      <w:lang w:val="en-US" w:eastAsia="en-US" w:bidi="ar-SA"/>
    </w:rPr>
  </w:style>
  <w:style w:type="paragraph" w:customStyle="1" w:styleId="283">
    <w:name w:val="P1"/>
    <w:basedOn w:val="1"/>
    <w:autoRedefine/>
    <w:qFormat/>
    <w:uiPriority w:val="0"/>
    <w:pPr>
      <w:adjustRightInd/>
      <w:spacing w:line="288" w:lineRule="auto"/>
      <w:ind w:firstLine="425" w:firstLineChars="200"/>
    </w:pPr>
  </w:style>
  <w:style w:type="paragraph" w:customStyle="1" w:styleId="284">
    <w:name w:val="Char1 Char Char Char4"/>
    <w:basedOn w:val="1"/>
    <w:autoRedefine/>
    <w:qFormat/>
    <w:uiPriority w:val="0"/>
    <w:pPr>
      <w:adjustRightInd/>
      <w:ind w:firstLine="200" w:firstLineChars="200"/>
    </w:pPr>
    <w:rPr>
      <w:rFonts w:ascii="Tahoma" w:hAnsi="Tahoma"/>
      <w:sz w:val="24"/>
      <w:szCs w:val="20"/>
    </w:rPr>
  </w:style>
  <w:style w:type="paragraph" w:customStyle="1" w:styleId="285">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286">
    <w:name w:val="La0b"/>
    <w:basedOn w:val="1"/>
    <w:autoRedefine/>
    <w:qFormat/>
    <w:uiPriority w:val="0"/>
    <w:pPr>
      <w:tabs>
        <w:tab w:val="left" w:pos="1500"/>
      </w:tabs>
      <w:adjustRightInd/>
      <w:spacing w:after="100" w:afterLines="0" w:line="240" w:lineRule="exact"/>
      <w:ind w:left="1500" w:hanging="420" w:firstLineChars="200"/>
    </w:pPr>
    <w:rPr>
      <w:rFonts w:ascii="宋体" w:hAnsi="宋体" w:eastAsia="微软雅黑"/>
      <w:b/>
      <w:sz w:val="24"/>
      <w:szCs w:val="20"/>
    </w:rPr>
  </w:style>
  <w:style w:type="paragraph" w:customStyle="1" w:styleId="287">
    <w:name w:val="Char1 Char Char Char Char Char Char Char Char Char"/>
    <w:basedOn w:val="1"/>
    <w:autoRedefine/>
    <w:semiHidden/>
    <w:qFormat/>
    <w:uiPriority w:val="0"/>
    <w:pPr>
      <w:adjustRightInd/>
      <w:spacing w:before="240" w:beforeLines="0" w:after="120" w:afterLines="0" w:line="288" w:lineRule="auto"/>
      <w:ind w:firstLine="200" w:firstLineChars="200"/>
      <w:jc w:val="left"/>
    </w:pPr>
    <w:rPr>
      <w:rFonts w:ascii="Tahoma" w:hAnsi="Tahoma"/>
      <w:sz w:val="24"/>
    </w:rPr>
  </w:style>
  <w:style w:type="paragraph" w:customStyle="1" w:styleId="288">
    <w:name w:val="MM Empty"/>
    <w:basedOn w:val="1"/>
    <w:autoRedefine/>
    <w:qFormat/>
    <w:uiPriority w:val="0"/>
    <w:pPr>
      <w:adjustRightInd/>
    </w:pPr>
  </w:style>
  <w:style w:type="paragraph" w:customStyle="1" w:styleId="289">
    <w:name w:val="插图题注"/>
    <w:next w:val="1"/>
    <w:autoRedefine/>
    <w:qFormat/>
    <w:uiPriority w:val="0"/>
    <w:pPr>
      <w:numPr>
        <w:ilvl w:val="7"/>
        <w:numId w:val="4"/>
      </w:numPr>
      <w:spacing w:after="312" w:afterLines="100"/>
      <w:ind w:left="1089" w:hanging="369"/>
      <w:jc w:val="center"/>
    </w:pPr>
    <w:rPr>
      <w:rFonts w:ascii="Arial" w:hAnsi="Arial" w:eastAsia="宋体" w:cs="Times New Roman"/>
      <w:sz w:val="18"/>
      <w:szCs w:val="18"/>
      <w:lang w:val="en-US" w:eastAsia="zh-CN" w:bidi="ar-SA"/>
    </w:rPr>
  </w:style>
  <w:style w:type="paragraph" w:customStyle="1" w:styleId="290">
    <w:name w:val="Table Contents"/>
    <w:basedOn w:val="1"/>
    <w:autoRedefine/>
    <w:qFormat/>
    <w:uiPriority w:val="0"/>
    <w:pPr>
      <w:suppressAutoHyphens/>
      <w:autoSpaceDE w:val="0"/>
      <w:spacing w:after="120" w:afterLines="0"/>
      <w:jc w:val="left"/>
    </w:pPr>
    <w:rPr>
      <w:rFonts w:ascii="Helvetica" w:hAnsi="Helvetica"/>
      <w:kern w:val="1"/>
      <w:sz w:val="20"/>
      <w:szCs w:val="20"/>
    </w:rPr>
  </w:style>
  <w:style w:type="paragraph" w:customStyle="1" w:styleId="291">
    <w:name w:val="数字标题2"/>
    <w:basedOn w:val="3"/>
    <w:next w:val="1"/>
    <w:autoRedefine/>
    <w:qFormat/>
    <w:uiPriority w:val="0"/>
    <w:pPr>
      <w:numPr>
        <w:ilvl w:val="1"/>
        <w:numId w:val="5"/>
      </w:numPr>
      <w:tabs>
        <w:tab w:val="clear" w:pos="432"/>
      </w:tabs>
    </w:pPr>
    <w:rPr>
      <w:rFonts w:ascii="Times New Roman" w:eastAsia="宋体"/>
      <w:i/>
      <w:sz w:val="36"/>
      <w:szCs w:val="36"/>
      <w:lang w:val="en-US"/>
    </w:rPr>
  </w:style>
  <w:style w:type="paragraph" w:customStyle="1" w:styleId="292">
    <w:name w:val="正文首行缩进1"/>
    <w:basedOn w:val="6"/>
    <w:autoRedefine/>
    <w:qFormat/>
    <w:uiPriority w:val="0"/>
    <w:pPr>
      <w:suppressAutoHyphens/>
      <w:autoSpaceDE/>
      <w:autoSpaceDN/>
      <w:adjustRightInd/>
      <w:spacing w:after="120" w:afterLines="0" w:line="240" w:lineRule="auto"/>
      <w:ind w:firstLine="420"/>
      <w:jc w:val="left"/>
    </w:pPr>
    <w:rPr>
      <w:rFonts w:ascii="Times New Roman"/>
      <w:kern w:val="1"/>
      <w:sz w:val="28"/>
      <w:szCs w:val="24"/>
      <w:lang w:val="en-US" w:eastAsia="ar-SA"/>
    </w:rPr>
  </w:style>
  <w:style w:type="paragraph" w:customStyle="1" w:styleId="293">
    <w:name w:val="Char Char Char Char Char Char1 Char"/>
    <w:basedOn w:val="1"/>
    <w:autoRedefine/>
    <w:qFormat/>
    <w:uiPriority w:val="0"/>
    <w:pPr>
      <w:widowControl/>
      <w:spacing w:after="160" w:afterLines="0" w:line="240" w:lineRule="exact"/>
      <w:jc w:val="left"/>
    </w:pPr>
    <w:rPr>
      <w:rFonts w:ascii="Verdana" w:hAnsi="Verdana"/>
      <w:kern w:val="0"/>
      <w:szCs w:val="20"/>
      <w:lang w:eastAsia="en-US"/>
    </w:rPr>
  </w:style>
  <w:style w:type="paragraph" w:customStyle="1" w:styleId="294">
    <w:name w:val="表格项目符号 2"/>
    <w:basedOn w:val="27"/>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295">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296">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pPr>
    <w:rPr>
      <w:rFonts w:ascii="宋体" w:hAnsi="宋体"/>
      <w:kern w:val="0"/>
      <w:sz w:val="20"/>
      <w:szCs w:val="20"/>
    </w:rPr>
  </w:style>
  <w:style w:type="paragraph" w:customStyle="1" w:styleId="297">
    <w:name w:val="正文（标题三）"/>
    <w:basedOn w:val="1"/>
    <w:autoRedefine/>
    <w:qFormat/>
    <w:uiPriority w:val="0"/>
    <w:pPr>
      <w:spacing w:line="360" w:lineRule="auto"/>
      <w:ind w:firstLine="200" w:firstLineChars="200"/>
    </w:pPr>
    <w:rPr>
      <w:sz w:val="24"/>
    </w:rPr>
  </w:style>
  <w:style w:type="paragraph" w:customStyle="1" w:styleId="298">
    <w:name w:val="小项目标题"/>
    <w:basedOn w:val="1"/>
    <w:autoRedefine/>
    <w:qFormat/>
    <w:uiPriority w:val="0"/>
    <w:pPr>
      <w:adjustRightInd/>
      <w:spacing w:before="100" w:beforeLines="0" w:beforeAutospacing="1" w:after="100" w:afterLines="0" w:afterAutospacing="1" w:line="360" w:lineRule="auto"/>
      <w:ind w:left="480" w:leftChars="200" w:firstLine="200" w:firstLineChars="200"/>
      <w:jc w:val="left"/>
    </w:pPr>
    <w:rPr>
      <w:sz w:val="24"/>
    </w:rPr>
  </w:style>
  <w:style w:type="paragraph" w:customStyle="1" w:styleId="299">
    <w:name w:val="首行缩进"/>
    <w:basedOn w:val="1"/>
    <w:autoRedefine/>
    <w:qFormat/>
    <w:uiPriority w:val="0"/>
    <w:pPr>
      <w:spacing w:line="360" w:lineRule="auto"/>
      <w:ind w:firstLine="480" w:firstLineChars="200"/>
    </w:pPr>
    <w:rPr>
      <w:rFonts w:ascii="宋体"/>
      <w:sz w:val="24"/>
      <w:szCs w:val="20"/>
    </w:rPr>
  </w:style>
  <w:style w:type="paragraph" w:customStyle="1" w:styleId="300">
    <w:name w:val="Char4"/>
    <w:basedOn w:val="1"/>
    <w:autoRedefine/>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301">
    <w:name w:val=" 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302">
    <w:name w:val="Bulleted List"/>
    <w:basedOn w:val="1"/>
    <w:autoRedefine/>
    <w:qFormat/>
    <w:uiPriority w:val="0"/>
    <w:pPr>
      <w:tabs>
        <w:tab w:val="left" w:pos="1260"/>
      </w:tabs>
      <w:adjustRightInd/>
      <w:ind w:left="1260" w:hanging="420"/>
    </w:pPr>
  </w:style>
  <w:style w:type="paragraph" w:customStyle="1" w:styleId="303">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304">
    <w:name w:val=" Char1 Char Char Char"/>
    <w:basedOn w:val="1"/>
    <w:autoRedefine/>
    <w:qFormat/>
    <w:uiPriority w:val="0"/>
    <w:rPr>
      <w:rFonts w:ascii="Tahoma" w:hAnsi="Tahoma"/>
      <w:sz w:val="24"/>
      <w:szCs w:val="20"/>
    </w:rPr>
  </w:style>
  <w:style w:type="paragraph" w:customStyle="1" w:styleId="305">
    <w:name w:val="样式"/>
    <w:basedOn w:val="1"/>
    <w:autoRedefine/>
    <w:qFormat/>
    <w:uiPriority w:val="0"/>
    <w:pPr>
      <w:autoSpaceDE w:val="0"/>
      <w:autoSpaceDN w:val="0"/>
      <w:snapToGrid w:val="0"/>
      <w:spacing w:before="120" w:beforeLines="0" w:after="120" w:afterLines="0" w:line="360" w:lineRule="auto"/>
    </w:pPr>
    <w:rPr>
      <w:rFonts w:ascii="宋体"/>
      <w:sz w:val="24"/>
      <w:szCs w:val="20"/>
    </w:rPr>
  </w:style>
  <w:style w:type="paragraph" w:customStyle="1" w:styleId="306">
    <w:name w:val="表格标题2"/>
    <w:basedOn w:val="307"/>
    <w:autoRedefine/>
    <w:qFormat/>
    <w:uiPriority w:val="0"/>
    <w:rPr>
      <w:b/>
    </w:rPr>
  </w:style>
  <w:style w:type="paragraph" w:customStyle="1" w:styleId="307">
    <w:name w:val="表格内文"/>
    <w:basedOn w:val="1"/>
    <w:autoRedefine/>
    <w:qFormat/>
    <w:uiPriority w:val="0"/>
    <w:pPr>
      <w:adjustRightInd/>
      <w:spacing w:line="360" w:lineRule="auto"/>
    </w:pPr>
    <w:rPr>
      <w:rFonts w:ascii="宋体" w:hAnsi="宋体" w:cs="宋体"/>
      <w:color w:val="000000"/>
      <w:szCs w:val="20"/>
    </w:rPr>
  </w:style>
  <w:style w:type="paragraph" w:customStyle="1" w:styleId="308">
    <w:name w:val="Char1 Char Char Char"/>
    <w:basedOn w:val="1"/>
    <w:autoRedefine/>
    <w:qFormat/>
    <w:uiPriority w:val="0"/>
    <w:pPr>
      <w:widowControl/>
      <w:snapToGrid w:val="0"/>
      <w:spacing w:before="120" w:beforeLines="0" w:after="160" w:afterLines="0" w:line="360" w:lineRule="auto"/>
      <w:ind w:right="-360"/>
      <w:jc w:val="left"/>
    </w:pPr>
    <w:rPr>
      <w:rFonts w:ascii="Arial" w:hAnsi="Arial"/>
      <w:kern w:val="0"/>
      <w:sz w:val="24"/>
      <w:lang w:eastAsia="en-US"/>
    </w:rPr>
  </w:style>
  <w:style w:type="paragraph" w:customStyle="1" w:styleId="309">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310">
    <w:name w:val="p0"/>
    <w:basedOn w:val="1"/>
    <w:autoRedefine/>
    <w:qFormat/>
    <w:uiPriority w:val="0"/>
    <w:pPr>
      <w:widowControl/>
      <w:adjustRightInd/>
    </w:pPr>
    <w:rPr>
      <w:kern w:val="0"/>
      <w:szCs w:val="21"/>
    </w:rPr>
  </w:style>
  <w:style w:type="paragraph" w:customStyle="1" w:styleId="311">
    <w:name w:val="样式 小四 首行缩进:  0.74 厘米 行距: 1.5 倍行距"/>
    <w:basedOn w:val="1"/>
    <w:autoRedefine/>
    <w:qFormat/>
    <w:uiPriority w:val="0"/>
    <w:pPr>
      <w:adjustRightInd/>
      <w:spacing w:before="100" w:beforeLines="0" w:beforeAutospacing="1" w:after="100" w:afterLines="0" w:afterAutospacing="1" w:line="300" w:lineRule="auto"/>
      <w:ind w:firstLine="480" w:firstLineChars="200"/>
    </w:pPr>
    <w:rPr>
      <w:rFonts w:ascii="宋体" w:hAnsi="宋体" w:eastAsia="微软雅黑"/>
      <w:sz w:val="24"/>
    </w:rPr>
  </w:style>
  <w:style w:type="paragraph" w:customStyle="1" w:styleId="312">
    <w:name w:val="标准有序列表（L1）"/>
    <w:basedOn w:val="16"/>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313">
    <w:name w:val="RFI Heading 3rd Level"/>
    <w:basedOn w:val="1"/>
    <w:autoRedefine/>
    <w:qFormat/>
    <w:uiPriority w:val="0"/>
    <w:pPr>
      <w:widowControl/>
      <w:tabs>
        <w:tab w:val="left" w:pos="840"/>
      </w:tabs>
      <w:adjustRightInd/>
      <w:ind w:firstLineChars="200"/>
      <w:jc w:val="left"/>
    </w:pPr>
    <w:rPr>
      <w:rFonts w:ascii="Arial (W1)" w:hAnsi="Arial (W1)"/>
      <w:color w:val="000000"/>
      <w:kern w:val="0"/>
      <w:sz w:val="24"/>
      <w:lang w:val="en-GB" w:eastAsia="en-US"/>
    </w:rPr>
  </w:style>
  <w:style w:type="paragraph" w:customStyle="1" w:styleId="314">
    <w:name w:val="默认段落字体 Para Char Char Char1 Char"/>
    <w:basedOn w:val="1"/>
    <w:autoRedefine/>
    <w:qFormat/>
    <w:uiPriority w:val="0"/>
    <w:pPr>
      <w:spacing w:line="240" w:lineRule="atLeast"/>
      <w:ind w:left="420" w:firstLine="420"/>
    </w:pPr>
    <w:rPr>
      <w:sz w:val="24"/>
    </w:rPr>
  </w:style>
  <w:style w:type="paragraph" w:customStyle="1" w:styleId="315">
    <w:name w:val="Char Char1 Char Char Char"/>
    <w:basedOn w:val="1"/>
    <w:autoRedefine/>
    <w:qFormat/>
    <w:uiPriority w:val="0"/>
    <w:rPr>
      <w:rFonts w:ascii="仿宋_GB2312" w:eastAsia="仿宋_GB2312"/>
      <w:b/>
      <w:sz w:val="32"/>
      <w:szCs w:val="20"/>
    </w:rPr>
  </w:style>
  <w:style w:type="paragraph" w:customStyle="1" w:styleId="316">
    <w:name w:val="目录标题"/>
    <w:basedOn w:val="1"/>
    <w:autoRedefine/>
    <w:qFormat/>
    <w:uiPriority w:val="0"/>
    <w:pPr>
      <w:autoSpaceDE w:val="0"/>
      <w:autoSpaceDN w:val="0"/>
      <w:spacing w:before="566" w:beforeLines="0" w:after="544" w:afterLines="0" w:line="566" w:lineRule="atLeast"/>
      <w:ind w:firstLine="419" w:firstLineChars="200"/>
      <w:jc w:val="center"/>
    </w:pPr>
    <w:rPr>
      <w:rFonts w:ascii="Arial" w:hAnsi="Arial"/>
      <w:color w:val="000000"/>
      <w:spacing w:val="565"/>
      <w:kern w:val="0"/>
      <w:sz w:val="54"/>
      <w:szCs w:val="54"/>
    </w:rPr>
  </w:style>
  <w:style w:type="paragraph" w:customStyle="1" w:styleId="317">
    <w:name w:val="四级条标题"/>
    <w:basedOn w:val="318"/>
    <w:next w:val="96"/>
    <w:autoRedefine/>
    <w:qFormat/>
    <w:uiPriority w:val="0"/>
    <w:pPr>
      <w:numPr>
        <w:ilvl w:val="5"/>
        <w:numId w:val="4"/>
      </w:numPr>
      <w:tabs>
        <w:tab w:val="left" w:pos="1260"/>
        <w:tab w:val="left" w:pos="1680"/>
        <w:tab w:val="left" w:pos="2100"/>
        <w:tab w:val="left" w:pos="2520"/>
      </w:tabs>
      <w:outlineLvl w:val="5"/>
    </w:pPr>
  </w:style>
  <w:style w:type="paragraph" w:customStyle="1" w:styleId="318">
    <w:name w:val="三级条标题"/>
    <w:basedOn w:val="319"/>
    <w:next w:val="96"/>
    <w:autoRedefine/>
    <w:qFormat/>
    <w:uiPriority w:val="0"/>
    <w:pPr>
      <w:numPr>
        <w:ilvl w:val="0"/>
        <w:numId w:val="0"/>
      </w:numPr>
      <w:tabs>
        <w:tab w:val="left" w:pos="1260"/>
        <w:tab w:val="left" w:pos="1680"/>
        <w:tab w:val="left" w:pos="2100"/>
        <w:tab w:val="left" w:pos="2520"/>
      </w:tabs>
      <w:ind w:left="2520" w:hanging="420"/>
      <w:outlineLvl w:val="4"/>
    </w:pPr>
  </w:style>
  <w:style w:type="paragraph" w:customStyle="1" w:styleId="319">
    <w:name w:val="二级条标题"/>
    <w:basedOn w:val="320"/>
    <w:next w:val="96"/>
    <w:autoRedefine/>
    <w:qFormat/>
    <w:uiPriority w:val="0"/>
    <w:pPr>
      <w:tabs>
        <w:tab w:val="left" w:pos="1260"/>
        <w:tab w:val="left" w:pos="1680"/>
        <w:tab w:val="left" w:pos="2100"/>
      </w:tabs>
      <w:ind w:left="0"/>
      <w:outlineLvl w:val="3"/>
    </w:pPr>
  </w:style>
  <w:style w:type="paragraph" w:customStyle="1" w:styleId="320">
    <w:name w:val="一级条标题"/>
    <w:basedOn w:val="321"/>
    <w:next w:val="96"/>
    <w:autoRedefine/>
    <w:qFormat/>
    <w:uiPriority w:val="0"/>
    <w:pPr>
      <w:tabs>
        <w:tab w:val="left" w:pos="1260"/>
        <w:tab w:val="left" w:pos="1680"/>
      </w:tabs>
      <w:spacing w:before="0" w:beforeLines="0" w:after="0" w:afterLines="0"/>
      <w:ind w:left="1680"/>
      <w:outlineLvl w:val="2"/>
    </w:pPr>
  </w:style>
  <w:style w:type="paragraph" w:customStyle="1" w:styleId="321">
    <w:name w:val="章标题"/>
    <w:next w:val="96"/>
    <w:autoRedefine/>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322">
    <w:name w:val="CM14"/>
    <w:basedOn w:val="323"/>
    <w:next w:val="323"/>
    <w:autoRedefine/>
    <w:qFormat/>
    <w:uiPriority w:val="0"/>
    <w:pPr>
      <w:spacing w:after="68" w:afterLines="0"/>
    </w:pPr>
    <w:rPr>
      <w:rFonts w:ascii="FHLHE E+ Futura Bk" w:eastAsia="FHLHE E+ Futura Bk" w:cs="Times New Roman"/>
      <w:color w:val="auto"/>
    </w:rPr>
  </w:style>
  <w:style w:type="paragraph" w:customStyle="1" w:styleId="323">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24">
    <w:name w:val="Z5"/>
    <w:basedOn w:val="1"/>
    <w:next w:val="1"/>
    <w:autoRedefine/>
    <w:qFormat/>
    <w:uiPriority w:val="0"/>
    <w:pPr>
      <w:tabs>
        <w:tab w:val="left" w:pos="2100"/>
      </w:tabs>
      <w:adjustRightInd/>
      <w:spacing w:before="240" w:beforeLines="0"/>
      <w:ind w:firstLine="200" w:firstLineChars="200"/>
      <w:outlineLvl w:val="4"/>
    </w:pPr>
    <w:rPr>
      <w:rFonts w:ascii="Tahoma" w:hAnsi="Tahoma" w:eastAsia="幼圆"/>
    </w:rPr>
  </w:style>
  <w:style w:type="paragraph" w:customStyle="1" w:styleId="325">
    <w:name w:val=" Char Char1 Char Char Char Char Char Char"/>
    <w:basedOn w:val="1"/>
    <w:autoRedefine/>
    <w:qFormat/>
    <w:uiPriority w:val="0"/>
    <w:rPr>
      <w:rFonts w:ascii="仿宋_GB2312" w:eastAsia="仿宋_GB2312"/>
      <w:b/>
      <w:sz w:val="32"/>
      <w:szCs w:val="20"/>
    </w:rPr>
  </w:style>
  <w:style w:type="paragraph" w:customStyle="1" w:styleId="326">
    <w:name w:val="目录1"/>
    <w:basedOn w:val="1"/>
    <w:autoRedefine/>
    <w:qFormat/>
    <w:uiPriority w:val="0"/>
    <w:pPr>
      <w:tabs>
        <w:tab w:val="left" w:leader="dot" w:pos="8503"/>
      </w:tabs>
      <w:autoSpaceDE w:val="0"/>
      <w:autoSpaceDN w:val="0"/>
      <w:spacing w:after="136" w:afterLines="0" w:line="289" w:lineRule="atLeast"/>
      <w:ind w:firstLine="200" w:firstLineChars="200"/>
      <w:jc w:val="left"/>
    </w:pPr>
    <w:rPr>
      <w:rFonts w:ascii="Arial" w:hAnsi="Arial"/>
      <w:color w:val="000000"/>
      <w:kern w:val="0"/>
      <w:sz w:val="28"/>
      <w:szCs w:val="28"/>
    </w:rPr>
  </w:style>
  <w:style w:type="paragraph" w:customStyle="1" w:styleId="327">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328">
    <w:name w:val="Char Char1"/>
    <w:basedOn w:val="1"/>
    <w:autoRedefine/>
    <w:qFormat/>
    <w:uiPriority w:val="0"/>
    <w:pPr>
      <w:widowControl/>
      <w:spacing w:after="160" w:afterLines="0" w:line="240" w:lineRule="exact"/>
      <w:jc w:val="left"/>
    </w:pPr>
    <w:rPr>
      <w:rFonts w:eastAsia="仿宋_GB2312"/>
      <w:sz w:val="28"/>
    </w:rPr>
  </w:style>
  <w:style w:type="paragraph" w:customStyle="1" w:styleId="329">
    <w:name w:val="Char3"/>
    <w:basedOn w:val="1"/>
    <w:autoRedefine/>
    <w:qFormat/>
    <w:uiPriority w:val="0"/>
    <w:pPr>
      <w:adjustRightInd/>
      <w:ind w:firstLine="200" w:firstLineChars="200"/>
    </w:pPr>
    <w:rPr>
      <w:rFonts w:ascii="Tahoma" w:hAnsi="Tahoma"/>
      <w:sz w:val="24"/>
      <w:szCs w:val="20"/>
    </w:rPr>
  </w:style>
  <w:style w:type="paragraph" w:customStyle="1" w:styleId="330">
    <w:name w:val="样式 标题 22h2L1 Heading 2H2sect 1.2H21sect 1.21H22sect 1.2..."/>
    <w:basedOn w:val="3"/>
    <w:next w:val="1"/>
    <w:autoRedefine/>
    <w:qFormat/>
    <w:uiPriority w:val="0"/>
    <w:pPr>
      <w:numPr>
        <w:ilvl w:val="0"/>
        <w:numId w:val="0"/>
      </w:numPr>
      <w:tabs>
        <w:tab w:val="left" w:pos="425"/>
        <w:tab w:val="clear" w:pos="432"/>
      </w:tabs>
      <w:spacing w:before="260" w:beforeLines="0" w:after="260" w:afterLines="0" w:line="415" w:lineRule="auto"/>
      <w:ind w:left="425" w:hanging="425"/>
    </w:pPr>
    <w:rPr>
      <w:rFonts w:ascii="微软雅黑" w:hAnsi="微软雅黑" w:eastAsia="微软雅黑"/>
      <w:sz w:val="32"/>
      <w:szCs w:val="32"/>
      <w:lang w:val="en-US"/>
    </w:rPr>
  </w:style>
  <w:style w:type="paragraph" w:customStyle="1" w:styleId="331">
    <w:name w:val="Bullet with text 4"/>
    <w:basedOn w:val="1"/>
    <w:autoRedefine/>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332">
    <w:name w:val="表格文字（大）"/>
    <w:basedOn w:val="1"/>
    <w:autoRedefine/>
    <w:qFormat/>
    <w:uiPriority w:val="0"/>
    <w:pPr>
      <w:adjustRightInd/>
      <w:spacing w:before="20" w:beforeLines="0" w:after="20" w:afterLines="0"/>
      <w:ind w:firstLine="200" w:firstLineChars="200"/>
    </w:pPr>
    <w:rPr>
      <w:rFonts w:ascii="Century Gothic" w:hAnsi="Century Gothic"/>
      <w:sz w:val="24"/>
      <w:szCs w:val="20"/>
    </w:rPr>
  </w:style>
  <w:style w:type="paragraph" w:customStyle="1" w:styleId="333">
    <w:name w:val="style25"/>
    <w:basedOn w:val="1"/>
    <w:autoRedefine/>
    <w:qFormat/>
    <w:uiPriority w:val="0"/>
    <w:pPr>
      <w:widowControl/>
      <w:adjustRightInd/>
      <w:spacing w:before="100" w:beforeLines="0" w:beforeAutospacing="1" w:after="100" w:afterLines="0" w:afterAutospacing="1"/>
      <w:ind w:firstLine="200" w:firstLineChars="200"/>
      <w:jc w:val="left"/>
    </w:pPr>
    <w:rPr>
      <w:rFonts w:ascii="宋体" w:hAnsi="宋体" w:cs="宋体"/>
      <w:color w:val="557AAF"/>
      <w:kern w:val="0"/>
      <w:sz w:val="18"/>
      <w:szCs w:val="18"/>
    </w:rPr>
  </w:style>
  <w:style w:type="paragraph" w:customStyle="1" w:styleId="334">
    <w:name w:val="列表内容"/>
    <w:basedOn w:val="1"/>
    <w:next w:val="1"/>
    <w:autoRedefine/>
    <w:qFormat/>
    <w:uiPriority w:val="0"/>
    <w:pPr>
      <w:widowControl/>
      <w:tabs>
        <w:tab w:val="left" w:pos="840"/>
      </w:tabs>
      <w:ind w:left="840" w:hanging="420"/>
      <w:jc w:val="left"/>
    </w:pPr>
    <w:rPr>
      <w:kern w:val="0"/>
      <w:sz w:val="18"/>
    </w:rPr>
  </w:style>
  <w:style w:type="paragraph" w:customStyle="1" w:styleId="335">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336">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337">
    <w:name w:val="数字标题6"/>
    <w:basedOn w:val="8"/>
    <w:next w:val="1"/>
    <w:autoRedefine/>
    <w:qFormat/>
    <w:uiPriority w:val="0"/>
    <w:pPr>
      <w:numPr>
        <w:ilvl w:val="5"/>
        <w:numId w:val="5"/>
      </w:numPr>
      <w:tabs>
        <w:tab w:val="clear" w:pos="1152"/>
      </w:tabs>
    </w:pPr>
    <w:rPr>
      <w:rFonts w:ascii="Times New Roman" w:hAnsi="Times New Roman" w:eastAsia="宋体"/>
      <w:i/>
    </w:rPr>
  </w:style>
  <w:style w:type="paragraph" w:customStyle="1" w:styleId="338">
    <w:name w:val="solutionfonts1"/>
    <w:basedOn w:val="1"/>
    <w:autoRedefine/>
    <w:qFormat/>
    <w:uiPriority w:val="0"/>
    <w:pPr>
      <w:widowControl/>
      <w:adjustRightInd/>
      <w:spacing w:before="100" w:beforeLines="0" w:beforeAutospacing="1" w:after="100" w:afterLines="0" w:afterAutospacing="1"/>
      <w:ind w:firstLine="200" w:firstLineChars="200"/>
      <w:jc w:val="left"/>
    </w:pPr>
    <w:rPr>
      <w:rFonts w:ascii="宋体" w:hAnsi="宋体" w:cs="宋体"/>
      <w:kern w:val="0"/>
      <w:sz w:val="24"/>
    </w:rPr>
  </w:style>
  <w:style w:type="paragraph" w:customStyle="1" w:styleId="339">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40">
    <w:name w:val="Bul Text 9/14"/>
    <w:autoRedefine/>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341">
    <w:name w:val="标准小四"/>
    <w:basedOn w:val="1"/>
    <w:autoRedefine/>
    <w:qFormat/>
    <w:uiPriority w:val="0"/>
    <w:pPr>
      <w:spacing w:line="360" w:lineRule="auto"/>
      <w:ind w:firstLine="480" w:firstLineChars="200"/>
    </w:pPr>
    <w:rPr>
      <w:rFonts w:ascii="Arial" w:hAnsi="Arial"/>
      <w:sz w:val="24"/>
      <w:szCs w:val="21"/>
    </w:rPr>
  </w:style>
  <w:style w:type="paragraph" w:customStyle="1" w:styleId="342">
    <w:name w:val="插图说明"/>
    <w:basedOn w:val="1"/>
    <w:autoRedefine/>
    <w:qFormat/>
    <w:uiPriority w:val="0"/>
    <w:pPr>
      <w:spacing w:after="240" w:afterLines="0"/>
      <w:ind w:firstLineChars="200"/>
      <w:jc w:val="center"/>
      <w:textAlignment w:val="baseline"/>
    </w:pPr>
    <w:rPr>
      <w:rFonts w:eastAsia="黑体"/>
      <w:sz w:val="24"/>
      <w:szCs w:val="20"/>
    </w:rPr>
  </w:style>
  <w:style w:type="paragraph" w:customStyle="1" w:styleId="343">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344">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345">
    <w:name w:val="正文文字表格居中"/>
    <w:basedOn w:val="1"/>
    <w:next w:val="53"/>
    <w:autoRedefine/>
    <w:qFormat/>
    <w:uiPriority w:val="0"/>
    <w:pPr>
      <w:snapToGrid w:val="0"/>
      <w:spacing w:line="360" w:lineRule="auto"/>
    </w:pPr>
    <w:rPr>
      <w:rFonts w:ascii="宋体"/>
      <w:b/>
      <w:sz w:val="24"/>
      <w:szCs w:val="20"/>
    </w:rPr>
  </w:style>
  <w:style w:type="paragraph" w:customStyle="1" w:styleId="346">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347">
    <w:name w:val=" 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348">
    <w:name w:val="正文（首行缩进）"/>
    <w:basedOn w:val="23"/>
    <w:autoRedefine/>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349">
    <w:name w:val="Char Char1 Char"/>
    <w:basedOn w:val="1"/>
    <w:autoRedefine/>
    <w:qFormat/>
    <w:uiPriority w:val="0"/>
    <w:pPr>
      <w:widowControl/>
      <w:snapToGrid w:val="0"/>
      <w:spacing w:before="120" w:beforeLines="0" w:after="160" w:afterLines="0" w:line="360" w:lineRule="auto"/>
      <w:ind w:right="-360"/>
      <w:jc w:val="left"/>
    </w:pPr>
    <w:rPr>
      <w:rFonts w:ascii="Arial" w:hAnsi="Arial"/>
      <w:kern w:val="0"/>
      <w:sz w:val="24"/>
      <w:lang w:eastAsia="en-US"/>
    </w:rPr>
  </w:style>
  <w:style w:type="paragraph" w:customStyle="1" w:styleId="350">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351">
    <w:name w:val="样式8"/>
    <w:basedOn w:val="1"/>
    <w:autoRedefine/>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352">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353">
    <w:name w:val="Char Char"/>
    <w:basedOn w:val="1"/>
    <w:autoRedefine/>
    <w:qFormat/>
    <w:uiPriority w:val="0"/>
    <w:pPr>
      <w:spacing w:line="360" w:lineRule="auto"/>
    </w:pPr>
    <w:rPr>
      <w:rFonts w:ascii="Tahoma" w:hAnsi="Tahoma"/>
      <w:sz w:val="24"/>
      <w:szCs w:val="20"/>
    </w:rPr>
  </w:style>
  <w:style w:type="paragraph" w:customStyle="1" w:styleId="354">
    <w:name w:val=" Char2 Char Char"/>
    <w:basedOn w:val="1"/>
    <w:autoRedefine/>
    <w:qFormat/>
    <w:uiPriority w:val="0"/>
    <w:pPr>
      <w:adjustRightInd/>
    </w:pPr>
    <w:rPr>
      <w:rFonts w:ascii="Tahoma" w:hAnsi="Tahoma"/>
      <w:sz w:val="24"/>
      <w:szCs w:val="20"/>
    </w:rPr>
  </w:style>
  <w:style w:type="paragraph" w:customStyle="1" w:styleId="355">
    <w:name w:val="正文文字缩进项目"/>
    <w:basedOn w:val="23"/>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356">
    <w:name w:val=" Char1 Char Char Char Char Char Char Char Char Char Char Char1 Char Char Char Char Char Char Char Char Char Char Char Char Char Char1 Char Char Char Char"/>
    <w:basedOn w:val="1"/>
    <w:autoRedefine/>
    <w:qFormat/>
    <w:uiPriority w:val="0"/>
    <w:pPr>
      <w:adjustRightInd w:val="0"/>
      <w:spacing w:line="360" w:lineRule="auto"/>
    </w:pPr>
    <w:rPr>
      <w:kern w:val="0"/>
      <w:sz w:val="24"/>
      <w:szCs w:val="20"/>
    </w:rPr>
  </w:style>
  <w:style w:type="paragraph" w:customStyle="1" w:styleId="357">
    <w:name w:val="List Paragraph1"/>
    <w:basedOn w:val="1"/>
    <w:autoRedefine/>
    <w:qFormat/>
    <w:uiPriority w:val="34"/>
    <w:pPr>
      <w:spacing w:line="360" w:lineRule="auto"/>
      <w:ind w:firstLine="200" w:firstLineChars="200"/>
    </w:pPr>
    <w:rPr>
      <w:rFonts w:eastAsia="楷体_GB2312" w:cs="Lucida Sans"/>
      <w:sz w:val="24"/>
    </w:rPr>
  </w:style>
  <w:style w:type="paragraph" w:customStyle="1" w:styleId="358">
    <w:name w:val="样式 标题 2标题2H2Heading 2 HiddenHeading 2 CCBSheading 22nd lev..."/>
    <w:basedOn w:val="3"/>
    <w:autoRedefine/>
    <w:qFormat/>
    <w:uiPriority w:val="0"/>
    <w:pPr>
      <w:widowControl/>
      <w:spacing w:before="260" w:beforeLines="0" w:after="260" w:afterLines="0" w:line="416" w:lineRule="auto"/>
      <w:ind w:left="0" w:firstLine="0"/>
    </w:pPr>
    <w:rPr>
      <w:rFonts w:ascii="Arial" w:hAnsi="Arial" w:eastAsia="黑体"/>
      <w:sz w:val="30"/>
      <w:szCs w:val="21"/>
    </w:rPr>
  </w:style>
  <w:style w:type="paragraph" w:customStyle="1" w:styleId="359">
    <w:name w:val="Char Char1 Char Char1 Char Char1"/>
    <w:basedOn w:val="1"/>
    <w:autoRedefine/>
    <w:qFormat/>
    <w:uiPriority w:val="0"/>
    <w:pPr>
      <w:tabs>
        <w:tab w:val="left" w:pos="840"/>
      </w:tabs>
      <w:ind w:left="840" w:hanging="420"/>
    </w:pPr>
    <w:rPr>
      <w:rFonts w:ascii="Tahoma" w:hAnsi="Tahoma"/>
      <w:sz w:val="24"/>
    </w:rPr>
  </w:style>
  <w:style w:type="paragraph" w:customStyle="1" w:styleId="360">
    <w:name w:val="样式 标题 3h33rd level3Heading 3 - oldH3l3CTheading 3Headin..."/>
    <w:basedOn w:val="4"/>
    <w:autoRedefine/>
    <w:qFormat/>
    <w:uiPriority w:val="0"/>
    <w:pPr>
      <w:snapToGrid w:val="0"/>
      <w:ind w:left="0" w:firstLine="0"/>
      <w:jc w:val="left"/>
    </w:pPr>
    <w:rPr>
      <w:rFonts w:eastAsia="黑体" w:cs="宋体"/>
      <w:sz w:val="28"/>
      <w:szCs w:val="20"/>
    </w:rPr>
  </w:style>
  <w:style w:type="paragraph" w:customStyle="1" w:styleId="361">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pPr>
    <w:rPr>
      <w:kern w:val="0"/>
      <w:sz w:val="20"/>
      <w:szCs w:val="20"/>
    </w:rPr>
  </w:style>
  <w:style w:type="paragraph" w:customStyle="1" w:styleId="362">
    <w:name w:val="默认段落字体 Para Char"/>
    <w:basedOn w:val="1"/>
    <w:autoRedefine/>
    <w:qFormat/>
    <w:uiPriority w:val="0"/>
    <w:rPr>
      <w:rFonts w:ascii="Tahoma" w:hAnsi="Tahoma"/>
      <w:sz w:val="24"/>
      <w:szCs w:val="20"/>
    </w:rPr>
  </w:style>
  <w:style w:type="paragraph" w:customStyle="1" w:styleId="363">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364">
    <w:name w:val="Picture"/>
    <w:basedOn w:val="1"/>
    <w:next w:val="17"/>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365">
    <w:name w:val="xl2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textAlignment w:val="top"/>
    </w:pPr>
    <w:rPr>
      <w:rFonts w:ascii="宋体" w:hAnsi="宋体"/>
      <w:kern w:val="0"/>
      <w:sz w:val="20"/>
      <w:szCs w:val="20"/>
    </w:rPr>
  </w:style>
  <w:style w:type="paragraph" w:customStyle="1" w:styleId="366">
    <w:name w:val="gf正文1"/>
    <w:basedOn w:val="1"/>
    <w:autoRedefine/>
    <w:qFormat/>
    <w:uiPriority w:val="0"/>
    <w:pPr>
      <w:tabs>
        <w:tab w:val="left" w:pos="3240"/>
        <w:tab w:val="left" w:pos="3960"/>
      </w:tabs>
      <w:adjustRightInd w:val="0"/>
      <w:snapToGrid w:val="0"/>
      <w:spacing w:line="360" w:lineRule="auto"/>
      <w:ind w:firstLine="480" w:firstLineChars="200"/>
    </w:pPr>
    <w:rPr>
      <w:rFonts w:ascii="宋体" w:hAnsi="宋体" w:cs="宋体"/>
      <w:sz w:val="24"/>
    </w:rPr>
  </w:style>
  <w:style w:type="paragraph" w:customStyle="1" w:styleId="367">
    <w:name w:val="Char Char11 Char Char Char"/>
    <w:basedOn w:val="1"/>
    <w:autoRedefine/>
    <w:qFormat/>
    <w:uiPriority w:val="0"/>
    <w:pPr>
      <w:spacing w:line="360" w:lineRule="auto"/>
    </w:pPr>
    <w:rPr>
      <w:szCs w:val="20"/>
    </w:rPr>
  </w:style>
  <w:style w:type="paragraph" w:customStyle="1" w:styleId="368">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pPr>
    <w:rPr>
      <w:rFonts w:ascii="宋体" w:hAnsi="宋体"/>
      <w:kern w:val="0"/>
      <w:sz w:val="20"/>
      <w:szCs w:val="20"/>
    </w:rPr>
  </w:style>
  <w:style w:type="paragraph" w:customStyle="1" w:styleId="369">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370">
    <w:name w:val="样式 正文文本缩进 + 左侧:  2 字符 首行缩进:  2 字符"/>
    <w:basedOn w:val="23"/>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371">
    <w:name w:val="!大节"/>
    <w:basedOn w:val="3"/>
    <w:autoRedefine/>
    <w:qFormat/>
    <w:uiPriority w:val="0"/>
    <w:pPr>
      <w:numPr>
        <w:ilvl w:val="0"/>
        <w:numId w:val="0"/>
      </w:numPr>
      <w:spacing w:before="260" w:beforeLines="0" w:after="260" w:afterLines="0" w:line="415" w:lineRule="auto"/>
      <w:ind w:left="420" w:hanging="420"/>
      <w:jc w:val="left"/>
    </w:pPr>
    <w:rPr>
      <w:rFonts w:ascii="Arial" w:hAnsi="Arial" w:eastAsia="微软雅黑"/>
      <w:sz w:val="32"/>
      <w:szCs w:val="32"/>
      <w:lang w:val="en-US"/>
    </w:rPr>
  </w:style>
  <w:style w:type="paragraph" w:customStyle="1" w:styleId="372">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pPr>
    <w:rPr>
      <w:rFonts w:ascii="宋体" w:hAnsi="宋体"/>
      <w:kern w:val="0"/>
      <w:sz w:val="20"/>
      <w:szCs w:val="20"/>
    </w:rPr>
  </w:style>
  <w:style w:type="paragraph" w:customStyle="1" w:styleId="373">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374">
    <w:name w:val=" Char2"/>
    <w:basedOn w:val="1"/>
    <w:autoRedefine/>
    <w:qFormat/>
    <w:uiPriority w:val="0"/>
    <w:rPr>
      <w:rFonts w:ascii="仿宋_GB2312" w:eastAsia="仿宋_GB2312"/>
      <w:b/>
      <w:sz w:val="32"/>
      <w:szCs w:val="32"/>
    </w:rPr>
  </w:style>
  <w:style w:type="paragraph" w:customStyle="1" w:styleId="375">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376">
    <w:name w:val="规划正文"/>
    <w:basedOn w:val="1"/>
    <w:autoRedefine/>
    <w:qFormat/>
    <w:uiPriority w:val="0"/>
    <w:pPr>
      <w:adjustRightInd/>
      <w:spacing w:before="312" w:beforeLines="100" w:line="360" w:lineRule="auto"/>
      <w:jc w:val="left"/>
    </w:pPr>
    <w:rPr>
      <w:rFonts w:ascii="Arial" w:hAnsi="Arial" w:eastAsia="仿宋_GB2312"/>
      <w:bCs/>
      <w:sz w:val="28"/>
    </w:rPr>
  </w:style>
  <w:style w:type="paragraph" w:customStyle="1" w:styleId="377">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378">
    <w:name w:val="表格"/>
    <w:basedOn w:val="1"/>
    <w:autoRedefine/>
    <w:qFormat/>
    <w:uiPriority w:val="0"/>
    <w:pPr>
      <w:snapToGrid w:val="0"/>
      <w:ind w:firstLine="42" w:firstLineChars="21"/>
    </w:pPr>
    <w:rPr>
      <w:rFonts w:ascii="宋体" w:hAnsi="宋体"/>
      <w:kern w:val="0"/>
      <w:sz w:val="20"/>
      <w:szCs w:val="20"/>
    </w:rPr>
  </w:style>
  <w:style w:type="paragraph" w:customStyle="1" w:styleId="379">
    <w:name w:val="样式 仿宋_GB2312 三号 加粗 黑色 居中 行距: 1.5 倍行距"/>
    <w:basedOn w:val="1"/>
    <w:autoRedefine/>
    <w:qFormat/>
    <w:uiPriority w:val="0"/>
    <w:pPr>
      <w:spacing w:line="360" w:lineRule="auto"/>
      <w:jc w:val="center"/>
    </w:pPr>
    <w:rPr>
      <w:rFonts w:ascii="仿宋_GB2312" w:eastAsia="仿宋_GB2312" w:cs="宋体"/>
      <w:b/>
      <w:bCs/>
      <w:color w:val="000000"/>
      <w:sz w:val="28"/>
      <w:szCs w:val="20"/>
    </w:rPr>
  </w:style>
  <w:style w:type="paragraph" w:customStyle="1" w:styleId="380">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pPr>
    <w:rPr>
      <w:kern w:val="0"/>
      <w:sz w:val="20"/>
      <w:szCs w:val="20"/>
    </w:rPr>
  </w:style>
  <w:style w:type="paragraph" w:customStyle="1" w:styleId="381">
    <w:name w:val="数字标题5"/>
    <w:basedOn w:val="7"/>
    <w:next w:val="1"/>
    <w:autoRedefine/>
    <w:qFormat/>
    <w:uiPriority w:val="0"/>
    <w:pPr>
      <w:numPr>
        <w:ilvl w:val="4"/>
        <w:numId w:val="5"/>
      </w:numPr>
      <w:tabs>
        <w:tab w:val="clear" w:pos="1008"/>
      </w:tabs>
    </w:pPr>
  </w:style>
  <w:style w:type="paragraph" w:customStyle="1" w:styleId="382">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383">
    <w:name w:val="font9"/>
    <w:basedOn w:val="1"/>
    <w:autoRedefine/>
    <w:qFormat/>
    <w:uiPriority w:val="0"/>
    <w:pPr>
      <w:widowControl/>
      <w:adjustRightInd/>
      <w:spacing w:before="100" w:beforeLines="0" w:beforeAutospacing="1" w:after="100" w:afterLines="0" w:afterAutospacing="1"/>
      <w:jc w:val="left"/>
    </w:pPr>
    <w:rPr>
      <w:rFonts w:hint="eastAsia" w:ascii="宋体" w:hAnsi="宋体"/>
      <w:kern w:val="0"/>
      <w:sz w:val="20"/>
      <w:szCs w:val="20"/>
    </w:rPr>
  </w:style>
  <w:style w:type="paragraph" w:customStyle="1" w:styleId="384">
    <w:name w:val=" Char Char Char Char Char Char Char Char"/>
    <w:basedOn w:val="1"/>
    <w:autoRedefine/>
    <w:qFormat/>
    <w:uiPriority w:val="0"/>
    <w:pPr>
      <w:tabs>
        <w:tab w:val="left" w:pos="360"/>
      </w:tabs>
    </w:pPr>
    <w:rPr>
      <w:sz w:val="24"/>
      <w:szCs w:val="20"/>
    </w:rPr>
  </w:style>
  <w:style w:type="paragraph" w:customStyle="1" w:styleId="385">
    <w:name w:val="样式7"/>
    <w:basedOn w:val="386"/>
    <w:next w:val="1"/>
    <w:autoRedefine/>
    <w:qFormat/>
    <w:uiPriority w:val="0"/>
    <w:pPr>
      <w:spacing w:after="156" w:afterLines="50"/>
      <w:jc w:val="left"/>
      <w:outlineLvl w:val="3"/>
    </w:pPr>
    <w:rPr>
      <w:sz w:val="24"/>
      <w:szCs w:val="24"/>
    </w:rPr>
  </w:style>
  <w:style w:type="paragraph" w:customStyle="1" w:styleId="386">
    <w:name w:val="样式4"/>
    <w:basedOn w:val="1"/>
    <w:autoRedefine/>
    <w:qFormat/>
    <w:uiPriority w:val="0"/>
    <w:pPr>
      <w:spacing w:line="360" w:lineRule="auto"/>
      <w:ind w:firstLine="420"/>
      <w:jc w:val="center"/>
      <w:outlineLvl w:val="2"/>
    </w:pPr>
    <w:rPr>
      <w:rFonts w:ascii="仿宋_GB2312" w:hAnsi="仿宋" w:eastAsia="仿宋_GB2312"/>
      <w:b/>
      <w:sz w:val="32"/>
      <w:szCs w:val="32"/>
    </w:rPr>
  </w:style>
  <w:style w:type="paragraph" w:customStyle="1" w:styleId="387">
    <w:name w:val=" Char Char Char Char Char Char Char Char Char Char Char Char1 Char"/>
    <w:basedOn w:val="1"/>
    <w:autoRedefine/>
    <w:qFormat/>
    <w:uiPriority w:val="0"/>
    <w:rPr>
      <w:rFonts w:ascii="Tahoma" w:hAnsi="Tahoma" w:cs="仿宋_GB2312"/>
      <w:sz w:val="24"/>
      <w:szCs w:val="20"/>
    </w:rPr>
  </w:style>
  <w:style w:type="paragraph" w:customStyle="1" w:styleId="388">
    <w:name w:val="样式 标题 3标题 3 Char第二层条h33Bold Headbh章标题1小标题level_3PIM 3..."/>
    <w:basedOn w:val="4"/>
    <w:autoRedefine/>
    <w:qFormat/>
    <w:uiPriority w:val="0"/>
    <w:pPr>
      <w:numPr>
        <w:ilvl w:val="2"/>
        <w:numId w:val="0"/>
      </w:numPr>
      <w:adjustRightInd w:val="0"/>
      <w:snapToGrid w:val="0"/>
      <w:spacing w:before="0" w:beforeLines="0" w:after="0" w:afterLines="0" w:line="360" w:lineRule="auto"/>
    </w:pPr>
    <w:rPr>
      <w:rFonts w:ascii="黑体" w:hAnsi="宋体" w:eastAsia="黑体" w:cs="宋体"/>
      <w:b w:val="0"/>
      <w:bCs w:val="0"/>
      <w:color w:val="000000"/>
      <w:kern w:val="0"/>
      <w:sz w:val="28"/>
      <w:szCs w:val="20"/>
    </w:rPr>
  </w:style>
  <w:style w:type="paragraph" w:customStyle="1" w:styleId="389">
    <w:name w:val="Normal0"/>
    <w:autoRedefine/>
    <w:qFormat/>
    <w:uiPriority w:val="0"/>
    <w:rPr>
      <w:rFonts w:ascii="Times New Roman" w:hAnsi="Times New Roman" w:eastAsia="宋体" w:cs="Times New Roman"/>
      <w:lang w:val="en-US" w:eastAsia="en-US" w:bidi="ar-SA"/>
    </w:rPr>
  </w:style>
  <w:style w:type="paragraph" w:customStyle="1" w:styleId="390">
    <w:name w:val="main"/>
    <w:basedOn w:val="1"/>
    <w:autoRedefine/>
    <w:qFormat/>
    <w:uiPriority w:val="0"/>
    <w:pPr>
      <w:widowControl/>
      <w:adjustRightInd/>
      <w:spacing w:before="100" w:beforeLines="0" w:beforeAutospacing="1" w:after="100" w:afterLines="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391">
    <w:name w:val="EB_表格"/>
    <w:basedOn w:val="1"/>
    <w:autoRedefine/>
    <w:qFormat/>
    <w:uiPriority w:val="0"/>
    <w:pPr>
      <w:adjustRightInd/>
      <w:spacing w:line="300" w:lineRule="auto"/>
      <w:jc w:val="center"/>
    </w:pPr>
  </w:style>
  <w:style w:type="paragraph" w:customStyle="1" w:styleId="392">
    <w:name w:val="xl41"/>
    <w:basedOn w:val="1"/>
    <w:autoRedefine/>
    <w:qFormat/>
    <w:uiPriority w:val="0"/>
    <w:pPr>
      <w:widowControl/>
      <w:pBdr>
        <w:top w:val="single" w:color="auto" w:sz="4" w:space="0"/>
        <w:bottom w:val="single" w:color="auto" w:sz="4" w:space="0"/>
      </w:pBdr>
      <w:adjustRightInd/>
      <w:spacing w:before="100" w:beforeLines="0" w:beforeAutospacing="1" w:after="100" w:afterLines="0" w:afterAutospacing="1"/>
      <w:ind w:firstLine="200" w:firstLineChars="200"/>
      <w:jc w:val="center"/>
    </w:pPr>
    <w:rPr>
      <w:rFonts w:ascii="微软雅黑" w:hAnsi="微软雅黑" w:eastAsia="微软雅黑" w:cs="宋体"/>
      <w:b/>
      <w:bCs/>
      <w:kern w:val="0"/>
      <w:sz w:val="24"/>
    </w:rPr>
  </w:style>
  <w:style w:type="paragraph" w:customStyle="1" w:styleId="393">
    <w:name w:val="表格（小）"/>
    <w:basedOn w:val="1"/>
    <w:autoRedefine/>
    <w:qFormat/>
    <w:uiPriority w:val="0"/>
    <w:pPr>
      <w:adjustRightInd/>
      <w:snapToGrid w:val="0"/>
      <w:spacing w:line="300" w:lineRule="auto"/>
    </w:pPr>
    <w:rPr>
      <w:rFonts w:eastAsia="仿宋"/>
      <w:szCs w:val="21"/>
    </w:rPr>
  </w:style>
  <w:style w:type="paragraph" w:customStyle="1" w:styleId="394">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395">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396">
    <w:name w:val=" Char Char Char1 Char"/>
    <w:basedOn w:val="1"/>
    <w:autoRedefine/>
    <w:qFormat/>
    <w:uiPriority w:val="0"/>
    <w:rPr>
      <w:szCs w:val="20"/>
    </w:rPr>
  </w:style>
  <w:style w:type="paragraph" w:styleId="397">
    <w:name w:val="No Spacing"/>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8">
    <w:name w:val="列出段落2"/>
    <w:basedOn w:val="1"/>
    <w:autoRedefine/>
    <w:qFormat/>
    <w:uiPriority w:val="0"/>
    <w:pPr>
      <w:adjustRightInd/>
      <w:ind w:firstLine="420" w:firstLineChars="200"/>
    </w:pPr>
    <w:rPr>
      <w:rFonts w:ascii="宋体" w:hAnsi="宋体"/>
      <w:sz w:val="24"/>
    </w:rPr>
  </w:style>
  <w:style w:type="paragraph" w:customStyle="1" w:styleId="399">
    <w:name w:val="图中文字"/>
    <w:basedOn w:val="1"/>
    <w:autoRedefine/>
    <w:qFormat/>
    <w:uiPriority w:val="0"/>
    <w:pPr>
      <w:snapToGrid w:val="0"/>
      <w:spacing w:line="0" w:lineRule="atLeast"/>
      <w:ind w:firstLine="200" w:firstLineChars="200"/>
      <w:jc w:val="center"/>
    </w:pPr>
    <w:rPr>
      <w:sz w:val="24"/>
      <w:szCs w:val="20"/>
    </w:rPr>
  </w:style>
  <w:style w:type="paragraph" w:customStyle="1" w:styleId="400">
    <w:name w:val="加粗正文"/>
    <w:basedOn w:val="1"/>
    <w:autoRedefine/>
    <w:qFormat/>
    <w:uiPriority w:val="0"/>
    <w:pPr>
      <w:adjustRightInd/>
      <w:spacing w:before="156" w:beforeLines="50" w:after="156" w:afterLines="50" w:line="360" w:lineRule="auto"/>
      <w:ind w:firstLine="422" w:firstLineChars="200"/>
    </w:pPr>
    <w:rPr>
      <w:b/>
      <w:bCs/>
      <w:szCs w:val="21"/>
    </w:rPr>
  </w:style>
  <w:style w:type="paragraph" w:customStyle="1" w:styleId="401">
    <w:name w:val="公文正文"/>
    <w:basedOn w:val="1"/>
    <w:autoRedefine/>
    <w:qFormat/>
    <w:uiPriority w:val="0"/>
    <w:pPr>
      <w:adjustRightInd/>
      <w:spacing w:before="156" w:beforeLines="0" w:line="360" w:lineRule="auto"/>
      <w:ind w:firstLine="360" w:firstLineChars="200"/>
    </w:pPr>
    <w:rPr>
      <w:rFonts w:ascii="仿宋_GB2312" w:eastAsia="仿宋_GB2312"/>
      <w:sz w:val="24"/>
    </w:rPr>
  </w:style>
  <w:style w:type="paragraph" w:customStyle="1" w:styleId="402">
    <w:name w:val="正文3"/>
    <w:basedOn w:val="1"/>
    <w:autoRedefine/>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403">
    <w:name w:val="MM Title"/>
    <w:basedOn w:val="56"/>
    <w:autoRedefine/>
    <w:qFormat/>
    <w:uiPriority w:val="0"/>
    <w:pPr>
      <w:widowControl w:val="0"/>
      <w:overflowPunct/>
      <w:autoSpaceDE/>
      <w:autoSpaceDN/>
      <w:adjustRightInd/>
      <w:spacing w:before="240" w:beforeLines="0" w:after="60" w:afterLines="0"/>
      <w:textAlignment w:val="auto"/>
      <w:outlineLvl w:val="0"/>
    </w:pPr>
    <w:rPr>
      <w:rFonts w:ascii="Arial" w:hAnsi="Arial" w:cs="Arial"/>
      <w:bCs/>
      <w:kern w:val="2"/>
      <w:sz w:val="32"/>
      <w:szCs w:val="32"/>
      <w:lang w:val="en-US"/>
    </w:rPr>
  </w:style>
  <w:style w:type="paragraph" w:customStyle="1" w:styleId="404">
    <w:name w:val=" Char Char11"/>
    <w:basedOn w:val="1"/>
    <w:autoRedefine/>
    <w:qFormat/>
    <w:uiPriority w:val="0"/>
    <w:pPr>
      <w:spacing w:line="360" w:lineRule="auto"/>
    </w:pPr>
    <w:rPr>
      <w:szCs w:val="20"/>
    </w:rPr>
  </w:style>
  <w:style w:type="paragraph" w:customStyle="1" w:styleId="405">
    <w:name w:val="数字标题4"/>
    <w:basedOn w:val="5"/>
    <w:autoRedefine/>
    <w:qFormat/>
    <w:uiPriority w:val="0"/>
    <w:pPr>
      <w:numPr>
        <w:ilvl w:val="3"/>
        <w:numId w:val="0"/>
      </w:numPr>
      <w:tabs>
        <w:tab w:val="left" w:pos="0"/>
        <w:tab w:val="clear" w:pos="864"/>
      </w:tabs>
      <w:spacing w:before="0" w:beforeLines="0" w:after="0" w:afterLines="0" w:line="360" w:lineRule="auto"/>
      <w:ind w:left="1"/>
    </w:pPr>
    <w:rPr>
      <w:rFonts w:eastAsia="仿宋_GB2312" w:cs="Arial"/>
      <w:b w:val="0"/>
      <w:bCs w:val="0"/>
      <w:color w:val="000000"/>
      <w:kern w:val="0"/>
      <w:sz w:val="24"/>
      <w:szCs w:val="24"/>
      <w:lang w:val="en-US"/>
    </w:rPr>
  </w:style>
  <w:style w:type="paragraph" w:customStyle="1" w:styleId="406">
    <w:name w:val="FA正文"/>
    <w:basedOn w:val="1"/>
    <w:autoRedefine/>
    <w:qFormat/>
    <w:uiPriority w:val="0"/>
    <w:pPr>
      <w:spacing w:line="360" w:lineRule="auto"/>
      <w:ind w:firstLine="480" w:firstLineChars="200"/>
    </w:pPr>
    <w:rPr>
      <w:rFonts w:hAnsi="宋体"/>
      <w:sz w:val="24"/>
      <w:szCs w:val="20"/>
    </w:rPr>
  </w:style>
  <w:style w:type="paragraph" w:customStyle="1" w:styleId="407">
    <w:name w:val="8 Char"/>
    <w:basedOn w:val="19"/>
    <w:autoRedefine/>
    <w:qFormat/>
    <w:uiPriority w:val="0"/>
    <w:pPr>
      <w:spacing w:before="240" w:after="240" w:line="312" w:lineRule="atLeast"/>
      <w:ind w:leftChars="100" w:rightChars="100"/>
      <w:textAlignment w:val="baseline"/>
    </w:pPr>
    <w:rPr>
      <w:rFonts w:ascii="Arial" w:hAnsi="Arial" w:eastAsia="黑体"/>
      <w:snapToGrid w:val="0"/>
      <w:kern w:val="0"/>
      <w:sz w:val="20"/>
      <w:szCs w:val="21"/>
    </w:rPr>
  </w:style>
  <w:style w:type="paragraph" w:customStyle="1" w:styleId="408">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409">
    <w:name w:val=" Char3"/>
    <w:basedOn w:val="1"/>
    <w:autoRedefine/>
    <w:qFormat/>
    <w:uiPriority w:val="0"/>
    <w:pPr>
      <w:adjustRightInd/>
    </w:pPr>
    <w:rPr>
      <w:rFonts w:ascii="仿宋_GB2312" w:eastAsia="仿宋_GB2312"/>
      <w:b/>
      <w:sz w:val="32"/>
      <w:szCs w:val="32"/>
    </w:rPr>
  </w:style>
  <w:style w:type="paragraph" w:customStyle="1" w:styleId="410">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411">
    <w:name w:val="xl43"/>
    <w:basedOn w:val="1"/>
    <w:autoRedefine/>
    <w:qFormat/>
    <w:uiPriority w:val="0"/>
    <w:pPr>
      <w:widowControl/>
      <w:pBdr>
        <w:top w:val="single" w:color="auto" w:sz="4" w:space="0"/>
        <w:bottom w:val="single" w:color="auto" w:sz="4" w:space="0"/>
        <w:right w:val="single" w:color="auto" w:sz="4" w:space="0"/>
      </w:pBdr>
      <w:adjustRightInd/>
      <w:spacing w:before="100" w:beforeLines="0" w:beforeAutospacing="1" w:after="100" w:afterLines="0" w:afterAutospacing="1"/>
      <w:ind w:firstLine="200" w:firstLineChars="200"/>
      <w:jc w:val="center"/>
    </w:pPr>
    <w:rPr>
      <w:rFonts w:ascii="微软雅黑" w:hAnsi="微软雅黑" w:eastAsia="微软雅黑" w:cs="宋体"/>
      <w:b/>
      <w:bCs/>
      <w:kern w:val="0"/>
      <w:szCs w:val="21"/>
    </w:rPr>
  </w:style>
  <w:style w:type="paragraph" w:customStyle="1" w:styleId="412">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413">
    <w:name w:val="Char19"/>
    <w:basedOn w:val="1"/>
    <w:autoRedefine/>
    <w:qFormat/>
    <w:uiPriority w:val="0"/>
    <w:pPr>
      <w:adjustRightInd/>
    </w:pPr>
    <w:rPr>
      <w:szCs w:val="20"/>
    </w:rPr>
  </w:style>
  <w:style w:type="paragraph" w:customStyle="1" w:styleId="414">
    <w:name w:val="数字标题1"/>
    <w:basedOn w:val="2"/>
    <w:next w:val="1"/>
    <w:autoRedefine/>
    <w:qFormat/>
    <w:uiPriority w:val="0"/>
    <w:pPr>
      <w:numPr>
        <w:ilvl w:val="0"/>
        <w:numId w:val="5"/>
      </w:numPr>
      <w:tabs>
        <w:tab w:val="clear" w:pos="432"/>
      </w:tabs>
    </w:pPr>
  </w:style>
  <w:style w:type="paragraph" w:customStyle="1" w:styleId="415">
    <w:name w:val="浅色底纹 - 强调文字颜色 51"/>
    <w:autoRedefine/>
    <w:semiHidden/>
    <w:qFormat/>
    <w:uiPriority w:val="0"/>
    <w:rPr>
      <w:rFonts w:ascii="Times New Roman" w:hAnsi="Times New Roman" w:eastAsia="宋体" w:cs="Times New Roman"/>
      <w:kern w:val="2"/>
      <w:sz w:val="21"/>
      <w:szCs w:val="24"/>
      <w:lang w:val="en-US" w:eastAsia="zh-CN" w:bidi="ar-SA"/>
    </w:rPr>
  </w:style>
  <w:style w:type="paragraph" w:customStyle="1" w:styleId="416">
    <w:name w:val=" Char Char13 Char Char"/>
    <w:basedOn w:val="1"/>
    <w:autoRedefine/>
    <w:qFormat/>
    <w:uiPriority w:val="0"/>
    <w:pPr>
      <w:adjustRightInd/>
    </w:pPr>
    <w:rPr>
      <w:rFonts w:ascii="Arial" w:hAnsi="Arial" w:eastAsia="黑体"/>
      <w:snapToGrid w:val="0"/>
      <w:kern w:val="0"/>
      <w:sz w:val="20"/>
      <w:szCs w:val="21"/>
    </w:rPr>
  </w:style>
  <w:style w:type="paragraph" w:customStyle="1" w:styleId="417">
    <w:name w:val="Char Char Char"/>
    <w:basedOn w:val="1"/>
    <w:autoRedefine/>
    <w:qFormat/>
    <w:uiPriority w:val="0"/>
    <w:pPr>
      <w:widowControl/>
      <w:spacing w:after="160" w:afterLines="0" w:line="240" w:lineRule="exact"/>
      <w:jc w:val="left"/>
    </w:pPr>
    <w:rPr>
      <w:rFonts w:ascii="Verdana" w:hAnsi="Verdana"/>
      <w:kern w:val="0"/>
      <w:sz w:val="20"/>
      <w:szCs w:val="20"/>
      <w:lang w:eastAsia="en-US"/>
    </w:rPr>
  </w:style>
  <w:style w:type="paragraph" w:customStyle="1" w:styleId="418">
    <w:name w:val="TOC 标题1"/>
    <w:basedOn w:val="2"/>
    <w:next w:val="1"/>
    <w:autoRedefine/>
    <w:unhideWhenUsed/>
    <w:qFormat/>
    <w:uiPriority w:val="39"/>
    <w:pPr>
      <w:widowControl/>
      <w:numPr>
        <w:ilvl w:val="0"/>
        <w:numId w:val="0"/>
      </w:numPr>
      <w:adjustRightInd/>
      <w:spacing w:before="480" w:beforeLines="0" w:after="0" w:afterLines="0" w:line="276" w:lineRule="auto"/>
      <w:jc w:val="left"/>
      <w:outlineLvl w:val="9"/>
    </w:pPr>
    <w:rPr>
      <w:rFonts w:ascii="Cambria" w:hAnsi="Cambria"/>
      <w:color w:val="365F91"/>
      <w:kern w:val="0"/>
      <w:sz w:val="28"/>
      <w:szCs w:val="28"/>
    </w:rPr>
  </w:style>
  <w:style w:type="paragraph" w:customStyle="1" w:styleId="419">
    <w:name w:val=" Char Char Char Char"/>
    <w:basedOn w:val="1"/>
    <w:autoRedefine/>
    <w:qFormat/>
    <w:uiPriority w:val="0"/>
    <w:rPr>
      <w:rFonts w:ascii="Tahoma" w:hAnsi="Tahoma"/>
      <w:sz w:val="24"/>
      <w:szCs w:val="20"/>
    </w:rPr>
  </w:style>
  <w:style w:type="paragraph" w:customStyle="1" w:styleId="420">
    <w:name w:val="五级条标题"/>
    <w:basedOn w:val="317"/>
    <w:next w:val="96"/>
    <w:autoRedefine/>
    <w:qFormat/>
    <w:uiPriority w:val="0"/>
    <w:pPr>
      <w:numPr>
        <w:ilvl w:val="6"/>
        <w:numId w:val="4"/>
      </w:numPr>
      <w:tabs>
        <w:tab w:val="clear" w:pos="2940"/>
      </w:tabs>
      <w:outlineLvl w:val="6"/>
    </w:pPr>
  </w:style>
  <w:style w:type="paragraph" w:customStyle="1" w:styleId="421">
    <w:name w:val="文章总标题"/>
    <w:basedOn w:val="1"/>
    <w:autoRedefine/>
    <w:qFormat/>
    <w:uiPriority w:val="0"/>
    <w:pPr>
      <w:autoSpaceDE w:val="0"/>
      <w:autoSpaceDN w:val="0"/>
      <w:spacing w:before="566" w:beforeLines="0" w:after="544" w:afterLines="0" w:line="566" w:lineRule="atLeast"/>
      <w:ind w:firstLine="200" w:firstLineChars="200"/>
      <w:jc w:val="center"/>
    </w:pPr>
    <w:rPr>
      <w:rFonts w:ascii="Arial" w:hAnsi="Arial"/>
      <w:color w:val="000000"/>
      <w:kern w:val="0"/>
      <w:sz w:val="54"/>
      <w:szCs w:val="54"/>
    </w:rPr>
  </w:style>
  <w:style w:type="paragraph" w:customStyle="1" w:styleId="422">
    <w:name w:val="xl30"/>
    <w:basedOn w:val="1"/>
    <w:autoRedefine/>
    <w:qFormat/>
    <w:uiPriority w:val="0"/>
    <w:pPr>
      <w:widowControl/>
      <w:pBdr>
        <w:left w:val="single" w:color="auto" w:sz="4" w:space="0"/>
        <w:right w:val="single" w:color="auto" w:sz="4" w:space="0"/>
      </w:pBdr>
      <w:adjustRightInd/>
      <w:spacing w:before="100" w:beforeLines="0" w:beforeAutospacing="1" w:after="100" w:afterLines="0" w:afterAutospacing="1"/>
      <w:jc w:val="center"/>
    </w:pPr>
    <w:rPr>
      <w:rFonts w:eastAsia="Arial Unicode MS"/>
      <w:kern w:val="0"/>
      <w:szCs w:val="21"/>
    </w:rPr>
  </w:style>
  <w:style w:type="paragraph" w:customStyle="1" w:styleId="423">
    <w:name w:val="正文（首行缩进2字符）"/>
    <w:basedOn w:val="1"/>
    <w:autoRedefine/>
    <w:qFormat/>
    <w:uiPriority w:val="0"/>
    <w:pPr>
      <w:adjustRightInd/>
      <w:spacing w:line="360" w:lineRule="auto"/>
      <w:ind w:firstLine="480" w:firstLineChars="200"/>
    </w:pPr>
    <w:rPr>
      <w:sz w:val="24"/>
      <w:szCs w:val="20"/>
    </w:rPr>
  </w:style>
  <w:style w:type="paragraph" w:customStyle="1" w:styleId="424">
    <w:name w:val="缩进2字符"/>
    <w:basedOn w:val="1"/>
    <w:autoRedefine/>
    <w:qFormat/>
    <w:uiPriority w:val="0"/>
    <w:pPr>
      <w:widowControl/>
      <w:autoSpaceDE/>
      <w:autoSpaceDN/>
      <w:adjustRightInd/>
      <w:spacing w:line="240" w:lineRule="auto"/>
      <w:ind w:firstLine="200" w:firstLineChars="200"/>
      <w:jc w:val="left"/>
    </w:pPr>
    <w:rPr>
      <w:rFonts w:ascii="仿宋_GB2312" w:hAnsi="仿宋_GB2312" w:eastAsia="仿宋_GB2312"/>
      <w:color w:val="000000"/>
      <w:sz w:val="28"/>
      <w:szCs w:val="28"/>
    </w:rPr>
  </w:style>
  <w:style w:type="paragraph" w:customStyle="1" w:styleId="425">
    <w:name w:val="xl3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center"/>
    </w:pPr>
    <w:rPr>
      <w:rFonts w:ascii="宋体" w:hAnsi="宋体"/>
      <w:kern w:val="0"/>
      <w:sz w:val="20"/>
      <w:szCs w:val="20"/>
    </w:rPr>
  </w:style>
  <w:style w:type="paragraph" w:customStyle="1" w:styleId="426">
    <w:name w:val=" Char Char11 Char Char Char"/>
    <w:basedOn w:val="1"/>
    <w:autoRedefine/>
    <w:qFormat/>
    <w:uiPriority w:val="0"/>
    <w:pPr>
      <w:spacing w:line="360" w:lineRule="auto"/>
    </w:pPr>
    <w:rPr>
      <w:szCs w:val="20"/>
    </w:rPr>
  </w:style>
  <w:style w:type="paragraph" w:customStyle="1" w:styleId="427">
    <w:name w:val="样式 左侧:  0.85 厘米 首行缩进:  0.85 厘米"/>
    <w:basedOn w:val="1"/>
    <w:autoRedefine/>
    <w:qFormat/>
    <w:uiPriority w:val="0"/>
    <w:pPr>
      <w:adjustRightInd/>
      <w:spacing w:line="360" w:lineRule="auto"/>
      <w:ind w:firstLine="482"/>
    </w:pPr>
    <w:rPr>
      <w:rFonts w:cs="宋体"/>
      <w:sz w:val="24"/>
      <w:szCs w:val="20"/>
    </w:rPr>
  </w:style>
  <w:style w:type="paragraph" w:customStyle="1" w:styleId="428">
    <w:name w:val="普通正文"/>
    <w:basedOn w:val="1"/>
    <w:autoRedefine/>
    <w:uiPriority w:val="0"/>
    <w:pPr>
      <w:tabs>
        <w:tab w:val="left" w:pos="2280"/>
      </w:tabs>
      <w:spacing w:before="120" w:beforeLines="0" w:after="120" w:afterLines="0" w:line="360" w:lineRule="auto"/>
      <w:ind w:firstLine="480" w:firstLineChars="200"/>
      <w:jc w:val="left"/>
      <w:textAlignment w:val="baseline"/>
    </w:pPr>
    <w:rPr>
      <w:rFonts w:ascii="Arial" w:hAnsi="Arial"/>
      <w:kern w:val="0"/>
      <w:sz w:val="24"/>
    </w:rPr>
  </w:style>
  <w:style w:type="paragraph" w:customStyle="1" w:styleId="429">
    <w:name w:val="默认段落字体 Para Char Char Char Char Char Char Char"/>
    <w:basedOn w:val="1"/>
    <w:uiPriority w:val="0"/>
    <w:rPr>
      <w:rFonts w:eastAsia="仿宋_GB2312"/>
      <w:sz w:val="28"/>
      <w:szCs w:val="20"/>
    </w:rPr>
  </w:style>
  <w:style w:type="paragraph" w:customStyle="1" w:styleId="430">
    <w:name w:val="索引 11"/>
    <w:basedOn w:val="1"/>
    <w:next w:val="1"/>
    <w:autoRedefine/>
    <w:qFormat/>
    <w:uiPriority w:val="0"/>
    <w:pPr>
      <w:adjustRightInd/>
      <w:spacing w:line="360" w:lineRule="auto"/>
    </w:pPr>
    <w:rPr>
      <w:rFonts w:ascii="仿宋_GB2312" w:eastAsia="仿宋_GB2312"/>
      <w:sz w:val="24"/>
      <w:szCs w:val="20"/>
    </w:rPr>
  </w:style>
  <w:style w:type="paragraph" w:customStyle="1" w:styleId="431">
    <w:name w:val="MM Topic 3"/>
    <w:basedOn w:val="4"/>
    <w:uiPriority w:val="0"/>
    <w:pPr>
      <w:numPr>
        <w:ilvl w:val="2"/>
        <w:numId w:val="4"/>
      </w:numPr>
      <w:tabs>
        <w:tab w:val="clear" w:pos="900"/>
      </w:tabs>
      <w:adjustRightInd/>
    </w:pPr>
    <w:rPr>
      <w:lang w:val="en-US" w:eastAsia="zh-CN"/>
    </w:rPr>
  </w:style>
  <w:style w:type="paragraph" w:customStyle="1" w:styleId="432">
    <w:name w:val="tableheading"/>
    <w:basedOn w:val="1"/>
    <w:uiPriority w:val="0"/>
    <w:pPr>
      <w:widowControl/>
      <w:adjustRightInd/>
      <w:spacing w:before="100" w:beforeLines="0" w:beforeAutospacing="1" w:after="100" w:afterLines="0" w:afterAutospacing="1"/>
      <w:jc w:val="left"/>
    </w:pPr>
    <w:rPr>
      <w:rFonts w:ascii="宋体" w:hAnsi="宋体" w:cs="宋体"/>
      <w:kern w:val="0"/>
      <w:sz w:val="24"/>
    </w:rPr>
  </w:style>
  <w:style w:type="paragraph" w:customStyle="1" w:styleId="433">
    <w:name w:val="带编号样式"/>
    <w:basedOn w:val="434"/>
    <w:qFormat/>
    <w:uiPriority w:val="0"/>
    <w:pPr>
      <w:tabs>
        <w:tab w:val="left" w:pos="840"/>
      </w:tabs>
      <w:snapToGrid w:val="0"/>
      <w:ind w:left="840" w:hanging="420" w:firstLineChars="0"/>
    </w:pPr>
    <w:rPr>
      <w:rFonts w:ascii="仿宋_GB2312" w:eastAsia="仿宋_GB2312"/>
      <w:color w:val="000000"/>
    </w:rPr>
  </w:style>
  <w:style w:type="paragraph" w:customStyle="1" w:styleId="434">
    <w:name w:val="文本正文 Char"/>
    <w:basedOn w:val="1"/>
    <w:uiPriority w:val="0"/>
    <w:pPr>
      <w:spacing w:line="360" w:lineRule="auto"/>
      <w:ind w:firstLine="200" w:firstLineChars="200"/>
    </w:pPr>
    <w:rPr>
      <w:kern w:val="0"/>
      <w:sz w:val="24"/>
      <w:szCs w:val="20"/>
    </w:rPr>
  </w:style>
  <w:style w:type="paragraph" w:customStyle="1" w:styleId="435">
    <w:name w:val="Char Char Char Char Char Char Char Char Char Char"/>
    <w:basedOn w:val="1"/>
    <w:uiPriority w:val="0"/>
    <w:rPr>
      <w:rFonts w:ascii="仿宋_GB2312" w:eastAsia="仿宋_GB2312"/>
      <w:b/>
      <w:sz w:val="32"/>
      <w:szCs w:val="32"/>
    </w:rPr>
  </w:style>
  <w:style w:type="paragraph" w:customStyle="1" w:styleId="436">
    <w:name w:val="Bullet"/>
    <w:basedOn w:val="1"/>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437">
    <w:name w:val="样式2"/>
    <w:basedOn w:val="1"/>
    <w:qFormat/>
    <w:uiPriority w:val="0"/>
    <w:pPr>
      <w:tabs>
        <w:tab w:val="left" w:pos="2790"/>
        <w:tab w:val="left" w:pos="4230"/>
      </w:tabs>
      <w:autoSpaceDE w:val="0"/>
      <w:autoSpaceDN w:val="0"/>
      <w:adjustRightInd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38">
    <w:name w:val="正文 项目2"/>
    <w:basedOn w:val="439"/>
    <w:qFormat/>
    <w:uiPriority w:val="0"/>
    <w:pPr>
      <w:numPr>
        <w:ilvl w:val="0"/>
        <w:numId w:val="6"/>
      </w:numPr>
      <w:tabs>
        <w:tab w:val="left" w:pos="840"/>
      </w:tabs>
      <w:spacing w:after="0" w:afterLines="0"/>
    </w:pPr>
  </w:style>
  <w:style w:type="paragraph" w:customStyle="1" w:styleId="439">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40">
    <w:name w:val="样式 宋体 行距: 1.5 倍行距 首行缩进:  2 字符"/>
    <w:basedOn w:val="1"/>
    <w:uiPriority w:val="0"/>
    <w:pPr>
      <w:adjustRightInd/>
      <w:spacing w:line="360" w:lineRule="auto"/>
      <w:ind w:firstLine="420" w:firstLineChars="200"/>
    </w:pPr>
    <w:rPr>
      <w:rFonts w:ascii="宋体" w:hAnsi="宋体"/>
      <w:sz w:val="24"/>
      <w:szCs w:val="20"/>
    </w:rPr>
  </w:style>
  <w:style w:type="paragraph" w:customStyle="1" w:styleId="441">
    <w:name w:val=" Char3 Char Char"/>
    <w:basedOn w:val="1"/>
    <w:uiPriority w:val="0"/>
    <w:pPr>
      <w:widowControl/>
      <w:adjustRightInd/>
      <w:spacing w:after="160" w:afterLines="0" w:line="240" w:lineRule="exact"/>
      <w:jc w:val="left"/>
    </w:pPr>
    <w:rPr>
      <w:rFonts w:ascii="Arial" w:hAnsi="Arial" w:eastAsia="Times New Roman" w:cs="Verdana"/>
      <w:b/>
      <w:kern w:val="0"/>
      <w:sz w:val="24"/>
      <w:szCs w:val="20"/>
      <w:lang w:eastAsia="en-US"/>
    </w:rPr>
  </w:style>
  <w:style w:type="paragraph" w:customStyle="1" w:styleId="442">
    <w:name w:val="Char22"/>
    <w:basedOn w:val="1"/>
    <w:uiPriority w:val="0"/>
    <w:pPr>
      <w:adjustRightInd/>
      <w:spacing w:line="360" w:lineRule="auto"/>
      <w:ind w:firstLine="480" w:firstLineChars="200"/>
    </w:pPr>
    <w:rPr>
      <w:rFonts w:ascii="仿宋_GB2312" w:eastAsia="仿宋_GB2312"/>
      <w:b/>
      <w:sz w:val="32"/>
      <w:szCs w:val="32"/>
    </w:rPr>
  </w:style>
  <w:style w:type="paragraph" w:customStyle="1" w:styleId="443">
    <w:name w:val="Char Char Char Char Char Char Char Char Char Char Char1 Char"/>
    <w:basedOn w:val="1"/>
    <w:uiPriority w:val="0"/>
    <w:pPr>
      <w:adjustRightInd/>
    </w:pPr>
    <w:rPr>
      <w:rFonts w:ascii="Tahoma" w:hAnsi="Tahoma"/>
      <w:sz w:val="24"/>
    </w:rPr>
  </w:style>
  <w:style w:type="paragraph" w:customStyle="1" w:styleId="444">
    <w:name w:val="0"/>
    <w:basedOn w:val="1"/>
    <w:uiPriority w:val="0"/>
    <w:pPr>
      <w:widowControl/>
    </w:pPr>
    <w:rPr>
      <w:kern w:val="0"/>
      <w:sz w:val="24"/>
      <w:szCs w:val="20"/>
    </w:rPr>
  </w:style>
  <w:style w:type="paragraph" w:customStyle="1" w:styleId="445">
    <w:name w:val="a1"/>
    <w:basedOn w:val="1"/>
    <w:uiPriority w:val="0"/>
    <w:pPr>
      <w:widowControl/>
      <w:spacing w:line="300" w:lineRule="atLeast"/>
      <w:jc w:val="left"/>
    </w:pPr>
    <w:rPr>
      <w:rFonts w:ascii="宋体" w:hAnsi="宋体"/>
      <w:kern w:val="0"/>
      <w:sz w:val="18"/>
      <w:szCs w:val="20"/>
    </w:rPr>
  </w:style>
  <w:style w:type="paragraph" w:customStyle="1" w:styleId="446">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447">
    <w:name w:val=" Char Char11 Char Char Char Char Char Char Char Char Char Char Char"/>
    <w:basedOn w:val="1"/>
    <w:uiPriority w:val="0"/>
    <w:pPr>
      <w:adjustRightInd/>
      <w:spacing w:line="360" w:lineRule="auto"/>
    </w:pPr>
    <w:rPr>
      <w:rFonts w:ascii="Arial" w:hAnsi="Arial" w:eastAsia="黑体" w:cs="Arial"/>
      <w:snapToGrid w:val="0"/>
      <w:kern w:val="0"/>
      <w:szCs w:val="21"/>
    </w:rPr>
  </w:style>
  <w:style w:type="paragraph" w:customStyle="1" w:styleId="448">
    <w:name w:val="Char1 Char Char Char3"/>
    <w:basedOn w:val="1"/>
    <w:uiPriority w:val="0"/>
    <w:pPr>
      <w:adjustRightInd/>
      <w:ind w:firstLine="200" w:firstLineChars="200"/>
    </w:pPr>
    <w:rPr>
      <w:rFonts w:ascii="Tahoma" w:hAnsi="Tahoma"/>
      <w:sz w:val="24"/>
      <w:szCs w:val="20"/>
    </w:rPr>
  </w:style>
  <w:style w:type="paragraph" w:customStyle="1" w:styleId="449">
    <w:name w:val="subhead 2"/>
    <w:uiPriority w:val="0"/>
    <w:pPr>
      <w:spacing w:after="60" w:line="240" w:lineRule="exact"/>
    </w:pPr>
    <w:rPr>
      <w:rFonts w:ascii="Arial" w:hAnsi="Arial" w:eastAsia="宋体" w:cs="Times New Roman"/>
      <w:b/>
      <w:sz w:val="22"/>
      <w:lang w:val="en-US" w:eastAsia="en-US" w:bidi="ar-SA"/>
    </w:rPr>
  </w:style>
  <w:style w:type="paragraph" w:customStyle="1" w:styleId="450">
    <w:name w:val="样式 正文缩进 + 首行缩进:  2 字符"/>
    <w:basedOn w:val="16"/>
    <w:uiPriority w:val="0"/>
    <w:pPr>
      <w:widowControl w:val="0"/>
      <w:adjustRightInd/>
      <w:snapToGrid/>
      <w:spacing w:line="360" w:lineRule="auto"/>
      <w:ind w:firstLine="200" w:firstLineChars="200"/>
    </w:pPr>
    <w:rPr>
      <w:rFonts w:ascii="Times New Roman" w:cs="宋体"/>
      <w:snapToGrid/>
      <w:color w:val="auto"/>
      <w:kern w:val="2"/>
      <w:sz w:val="24"/>
    </w:rPr>
  </w:style>
  <w:style w:type="paragraph" w:customStyle="1" w:styleId="451">
    <w:name w:val="样式 微软雅黑 行距: 1.5 倍行距"/>
    <w:basedOn w:val="1"/>
    <w:uiPriority w:val="0"/>
    <w:pPr>
      <w:adjustRightInd/>
      <w:spacing w:line="360" w:lineRule="auto"/>
      <w:ind w:firstLine="480" w:firstLineChars="200"/>
    </w:pPr>
    <w:rPr>
      <w:rFonts w:ascii="微软雅黑" w:hAnsi="宋体" w:eastAsia="微软雅黑" w:cs="宋体"/>
      <w:sz w:val="24"/>
      <w:szCs w:val="20"/>
    </w:rPr>
  </w:style>
  <w:style w:type="paragraph" w:customStyle="1" w:styleId="452">
    <w:name w:val=" Char Char Char"/>
    <w:basedOn w:val="1"/>
    <w:uiPriority w:val="0"/>
    <w:rPr>
      <w:rFonts w:ascii="Tahoma" w:hAnsi="Tahoma"/>
      <w:sz w:val="24"/>
      <w:szCs w:val="20"/>
    </w:rPr>
  </w:style>
  <w:style w:type="paragraph" w:customStyle="1" w:styleId="453">
    <w:name w:val="封面"/>
    <w:basedOn w:val="1"/>
    <w:uiPriority w:val="0"/>
    <w:pPr>
      <w:spacing w:line="360" w:lineRule="atLeast"/>
      <w:jc w:val="right"/>
      <w:textAlignment w:val="baseline"/>
    </w:pPr>
    <w:rPr>
      <w:rFonts w:ascii="Symbol" w:hAnsi="Symbol"/>
      <w:kern w:val="0"/>
      <w:szCs w:val="20"/>
    </w:rPr>
  </w:style>
  <w:style w:type="paragraph" w:customStyle="1" w:styleId="454">
    <w:name w:val="标准正文"/>
    <w:basedOn w:val="1"/>
    <w:uiPriority w:val="0"/>
    <w:pPr>
      <w:tabs>
        <w:tab w:val="left" w:pos="780"/>
      </w:tabs>
      <w:adjustRightInd/>
      <w:spacing w:line="360" w:lineRule="auto"/>
      <w:ind w:left="200" w:leftChars="200" w:firstLine="200" w:firstLineChars="200"/>
    </w:pPr>
    <w:rPr>
      <w:sz w:val="24"/>
    </w:rPr>
  </w:style>
  <w:style w:type="paragraph" w:customStyle="1" w:styleId="455">
    <w:name w:val="标书正文格式"/>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456">
    <w:name w:val="彩色列表 - 强调文字颜色 12"/>
    <w:basedOn w:val="1"/>
    <w:qFormat/>
    <w:uiPriority w:val="0"/>
    <w:pPr>
      <w:adjustRightInd/>
      <w:ind w:firstLine="420" w:firstLineChars="200"/>
    </w:pPr>
    <w:rPr>
      <w:rFonts w:ascii="Calibri" w:hAnsi="Calibri"/>
      <w:szCs w:val="22"/>
    </w:rPr>
  </w:style>
  <w:style w:type="paragraph" w:customStyle="1" w:styleId="457">
    <w:name w:val="No Spacing1"/>
    <w:uiPriority w:val="0"/>
    <w:rPr>
      <w:rFonts w:ascii="Times New Roman" w:hAnsi="Times New Roman" w:eastAsia="宋体" w:cs="Times New Roman"/>
      <w:sz w:val="22"/>
      <w:szCs w:val="22"/>
      <w:lang w:val="en-US" w:eastAsia="en-US" w:bidi="ar-SA"/>
    </w:rPr>
  </w:style>
  <w:style w:type="paragraph" w:customStyle="1" w:styleId="458">
    <w:name w:val="MM Topic 1"/>
    <w:basedOn w:val="2"/>
    <w:uiPriority w:val="0"/>
    <w:pPr>
      <w:numPr>
        <w:ilvl w:val="0"/>
        <w:numId w:val="0"/>
      </w:numPr>
      <w:tabs>
        <w:tab w:val="left" w:pos="840"/>
      </w:tabs>
      <w:adjustRightInd/>
      <w:ind w:left="840" w:hanging="420"/>
    </w:pPr>
  </w:style>
  <w:style w:type="paragraph" w:customStyle="1" w:styleId="459">
    <w:name w:val="样式 标题 4PIM 4H4h4bulletblbbH41H42H43H44H45H46H47H48...1"/>
    <w:basedOn w:val="5"/>
    <w:uiPriority w:val="0"/>
    <w:pPr>
      <w:widowControl/>
      <w:jc w:val="left"/>
    </w:pPr>
    <w:rPr>
      <w:rFonts w:cs="宋体"/>
      <w:sz w:val="24"/>
      <w:szCs w:val="20"/>
    </w:rPr>
  </w:style>
  <w:style w:type="paragraph" w:customStyle="1" w:styleId="460">
    <w:name w:val="Char Char Char Char Char Char Char"/>
    <w:basedOn w:val="1"/>
    <w:uiPriority w:val="0"/>
    <w:rPr>
      <w:rFonts w:ascii="仿宋_GB2312" w:eastAsia="仿宋_GB2312"/>
      <w:b/>
      <w:sz w:val="32"/>
      <w:szCs w:val="32"/>
    </w:rPr>
  </w:style>
  <w:style w:type="paragraph" w:customStyle="1" w:styleId="461">
    <w:name w:val="正文段"/>
    <w:basedOn w:val="1"/>
    <w:uiPriority w:val="0"/>
    <w:pPr>
      <w:widowControl/>
      <w:snapToGrid w:val="0"/>
      <w:spacing w:after="156" w:afterLines="50"/>
      <w:ind w:firstLine="200" w:firstLineChars="200"/>
    </w:pPr>
    <w:rPr>
      <w:kern w:val="0"/>
      <w:sz w:val="24"/>
      <w:szCs w:val="20"/>
    </w:rPr>
  </w:style>
  <w:style w:type="paragraph" w:customStyle="1" w:styleId="462">
    <w:name w:val="表格文字"/>
    <w:basedOn w:val="1"/>
    <w:next w:val="16"/>
    <w:uiPriority w:val="0"/>
    <w:pPr>
      <w:adjustRightInd/>
      <w:ind w:firstLine="200" w:firstLineChars="200"/>
    </w:pPr>
    <w:rPr>
      <w:rFonts w:ascii="Arial" w:hAnsi="Arial"/>
      <w:spacing w:val="-5"/>
      <w:kern w:val="0"/>
      <w:sz w:val="24"/>
      <w:szCs w:val="20"/>
    </w:rPr>
  </w:style>
  <w:style w:type="paragraph" w:customStyle="1" w:styleId="463">
    <w:name w:val="xl23"/>
    <w:basedOn w:val="1"/>
    <w:uiPriority w:val="0"/>
    <w:pPr>
      <w:widowControl/>
      <w:adjustRightInd/>
      <w:spacing w:before="100" w:beforeLines="0" w:beforeAutospacing="1" w:after="100" w:afterLines="0" w:afterAutospacing="1" w:line="360" w:lineRule="auto"/>
      <w:ind w:firstLine="200" w:firstLineChars="200"/>
      <w:textAlignment w:val="top"/>
    </w:pPr>
    <w:rPr>
      <w:kern w:val="0"/>
      <w:sz w:val="24"/>
    </w:rPr>
  </w:style>
  <w:style w:type="paragraph" w:customStyle="1" w:styleId="464">
    <w:name w:val="封面文档标题"/>
    <w:basedOn w:val="1"/>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465">
    <w:name w:val="样式1"/>
    <w:basedOn w:val="1"/>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466">
    <w:name w:val="样式 仿宋_GB2312 小三 左侧:  1.06 厘米"/>
    <w:basedOn w:val="1"/>
    <w:uiPriority w:val="0"/>
    <w:pPr>
      <w:spacing w:line="360" w:lineRule="auto"/>
      <w:ind w:left="601"/>
    </w:pPr>
    <w:rPr>
      <w:rFonts w:ascii="仿宋_GB2312" w:eastAsia="仿宋_GB2312"/>
      <w:sz w:val="24"/>
      <w:szCs w:val="20"/>
    </w:rPr>
  </w:style>
  <w:style w:type="paragraph" w:customStyle="1" w:styleId="467">
    <w:name w:val=" Char3 Char Char Char"/>
    <w:basedOn w:val="1"/>
    <w:uiPriority w:val="0"/>
    <w:pPr>
      <w:widowControl/>
      <w:adjustRightInd/>
      <w:spacing w:after="160" w:afterLines="0" w:line="240" w:lineRule="exact"/>
      <w:jc w:val="left"/>
    </w:pPr>
    <w:rPr>
      <w:szCs w:val="20"/>
    </w:rPr>
  </w:style>
  <w:style w:type="paragraph" w:customStyle="1" w:styleId="468">
    <w:name w:val=" Char3 Char Char Char Char Char Char"/>
    <w:basedOn w:val="1"/>
    <w:uiPriority w:val="0"/>
    <w:pPr>
      <w:adjustRightInd/>
      <w:spacing w:line="360" w:lineRule="auto"/>
    </w:pPr>
    <w:rPr>
      <w:rFonts w:ascii="Arial" w:hAnsi="Arial" w:eastAsia="黑体" w:cs="Arial"/>
      <w:snapToGrid w:val="0"/>
      <w:kern w:val="0"/>
      <w:szCs w:val="21"/>
    </w:rPr>
  </w:style>
  <w:style w:type="paragraph" w:customStyle="1" w:styleId="469">
    <w:name w:val="xl34"/>
    <w:basedOn w:val="1"/>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pPr>
    <w:rPr>
      <w:kern w:val="0"/>
      <w:sz w:val="20"/>
      <w:szCs w:val="20"/>
    </w:rPr>
  </w:style>
  <w:style w:type="paragraph" w:customStyle="1" w:styleId="470">
    <w:name w:val=" Char Char11 Char Char Char Char Char Char Char Char Char"/>
    <w:basedOn w:val="1"/>
    <w:uiPriority w:val="0"/>
    <w:pPr>
      <w:spacing w:line="360" w:lineRule="auto"/>
    </w:pPr>
    <w:rPr>
      <w:szCs w:val="20"/>
    </w:rPr>
  </w:style>
  <w:style w:type="paragraph" w:customStyle="1" w:styleId="471">
    <w:name w:val="Char1"/>
    <w:basedOn w:val="1"/>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472">
    <w:name w:val="数字标题3"/>
    <w:basedOn w:val="4"/>
    <w:next w:val="1"/>
    <w:uiPriority w:val="0"/>
    <w:pPr>
      <w:numPr>
        <w:ilvl w:val="2"/>
        <w:numId w:val="0"/>
      </w:numPr>
      <w:spacing w:line="240" w:lineRule="auto"/>
    </w:pPr>
    <w:rPr>
      <w:sz w:val="28"/>
      <w:szCs w:val="28"/>
    </w:rPr>
  </w:style>
  <w:style w:type="paragraph" w:customStyle="1" w:styleId="473">
    <w:name w:val="font6"/>
    <w:basedOn w:val="1"/>
    <w:uiPriority w:val="0"/>
    <w:pPr>
      <w:widowControl/>
      <w:adjustRightInd/>
      <w:spacing w:before="100" w:beforeLines="0" w:beforeAutospacing="1" w:after="100" w:afterLines="0" w:afterAutospacing="1" w:line="360" w:lineRule="auto"/>
      <w:ind w:firstLine="200" w:firstLineChars="200"/>
      <w:jc w:val="left"/>
    </w:pPr>
    <w:rPr>
      <w:rFonts w:hint="eastAsia" w:ascii="宋体" w:hAnsi="宋体"/>
      <w:kern w:val="0"/>
      <w:sz w:val="20"/>
      <w:szCs w:val="20"/>
    </w:rPr>
  </w:style>
  <w:style w:type="paragraph" w:customStyle="1" w:styleId="474">
    <w:name w:val="正文文字缩进2字"/>
    <w:basedOn w:val="6"/>
    <w:uiPriority w:val="0"/>
    <w:pPr>
      <w:autoSpaceDE/>
      <w:autoSpaceDN/>
      <w:adjustRightInd/>
      <w:spacing w:before="60" w:beforeLines="0" w:after="60" w:afterLines="0"/>
      <w:ind w:firstLineChars="200"/>
    </w:pPr>
    <w:rPr>
      <w:rFonts w:ascii="Times New Roman"/>
      <w:szCs w:val="20"/>
      <w:lang w:val="en-US" w:eastAsia="zh-CN"/>
    </w:rPr>
  </w:style>
  <w:style w:type="paragraph" w:customStyle="1" w:styleId="475">
    <w:name w:val="Char Char Char Char Char Char Char Char Char Char Char Char1 Char"/>
    <w:basedOn w:val="1"/>
    <w:uiPriority w:val="0"/>
    <w:rPr>
      <w:rFonts w:ascii="Tahoma" w:hAnsi="Tahoma" w:cs="仿宋_GB2312"/>
      <w:sz w:val="24"/>
      <w:szCs w:val="20"/>
    </w:rPr>
  </w:style>
  <w:style w:type="paragraph" w:customStyle="1" w:styleId="476">
    <w:name w:val="_Style 475"/>
    <w:basedOn w:val="2"/>
    <w:next w:val="1"/>
    <w:qFormat/>
    <w:uiPriority w:val="39"/>
    <w:pPr>
      <w:widowControl/>
      <w:numPr>
        <w:ilvl w:val="0"/>
        <w:numId w:val="0"/>
      </w:numPr>
      <w:adjustRightInd/>
      <w:spacing w:before="480" w:beforeLines="0" w:after="0" w:afterLines="0" w:line="276" w:lineRule="auto"/>
      <w:jc w:val="left"/>
      <w:outlineLvl w:val="9"/>
    </w:pPr>
    <w:rPr>
      <w:rFonts w:ascii="Cambria" w:hAnsi="Cambria"/>
      <w:color w:val="365F91"/>
      <w:kern w:val="0"/>
      <w:sz w:val="28"/>
      <w:szCs w:val="28"/>
    </w:rPr>
  </w:style>
  <w:style w:type="paragraph" w:customStyle="1" w:styleId="477">
    <w:name w:val="Char1 Char Char Char5"/>
    <w:basedOn w:val="1"/>
    <w:uiPriority w:val="0"/>
    <w:pPr>
      <w:adjustRightInd/>
      <w:ind w:firstLine="200" w:firstLineChars="200"/>
    </w:pPr>
    <w:rPr>
      <w:rFonts w:ascii="Tahoma" w:hAnsi="Tahoma"/>
      <w:sz w:val="24"/>
      <w:szCs w:val="20"/>
    </w:rPr>
  </w:style>
  <w:style w:type="paragraph" w:customStyle="1" w:styleId="478">
    <w:name w:val="正文文字格式"/>
    <w:basedOn w:val="1"/>
    <w:uiPriority w:val="0"/>
    <w:pPr>
      <w:adjustRightInd/>
      <w:spacing w:line="460" w:lineRule="exact"/>
      <w:ind w:firstLine="505"/>
      <w:jc w:val="left"/>
    </w:pPr>
    <w:rPr>
      <w:rFonts w:ascii="宋体"/>
      <w:kern w:val="24"/>
      <w:sz w:val="24"/>
      <w:szCs w:val="20"/>
    </w:rPr>
  </w:style>
  <w:style w:type="paragraph" w:customStyle="1" w:styleId="479">
    <w:name w:val=" Char Char11 Char Char Char Char Char Char Char Char Char Char Char Char Char Char Char Char Char"/>
    <w:basedOn w:val="1"/>
    <w:uiPriority w:val="0"/>
    <w:pPr>
      <w:adjustRightInd/>
      <w:spacing w:line="360" w:lineRule="auto"/>
    </w:pPr>
    <w:rPr>
      <w:rFonts w:ascii="Arial" w:hAnsi="Arial" w:eastAsia="黑体" w:cs="Arial"/>
      <w:snapToGrid w:val="0"/>
      <w:kern w:val="0"/>
      <w:szCs w:val="21"/>
    </w:rPr>
  </w:style>
  <w:style w:type="paragraph" w:customStyle="1" w:styleId="480">
    <w:name w:val="注释"/>
    <w:basedOn w:val="1"/>
    <w:uiPriority w:val="0"/>
    <w:pPr>
      <w:adjustRightInd/>
      <w:spacing w:line="360" w:lineRule="auto"/>
      <w:ind w:firstLine="480"/>
    </w:pPr>
    <w:rPr>
      <w:sz w:val="24"/>
    </w:rPr>
  </w:style>
  <w:style w:type="paragraph" w:customStyle="1" w:styleId="481">
    <w:name w:val="单元格居中"/>
    <w:basedOn w:val="1"/>
    <w:qFormat/>
    <w:uiPriority w:val="0"/>
    <w:pPr>
      <w:adjustRightInd/>
      <w:spacing w:line="360" w:lineRule="auto"/>
      <w:jc w:val="center"/>
    </w:pPr>
    <w:rPr>
      <w:sz w:val="24"/>
    </w:rPr>
  </w:style>
  <w:style w:type="paragraph" w:customStyle="1" w:styleId="482">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83">
    <w:name w:val="标题五"/>
    <w:basedOn w:val="1"/>
    <w:uiPriority w:val="0"/>
    <w:pPr>
      <w:adjustRightInd/>
      <w:spacing w:before="156" w:beforeLines="50" w:line="360" w:lineRule="auto"/>
    </w:pPr>
    <w:rPr>
      <w:b/>
      <w:sz w:val="24"/>
    </w:rPr>
  </w:style>
  <w:style w:type="paragraph" w:customStyle="1" w:styleId="484">
    <w:name w:val="xl36"/>
    <w:basedOn w:val="1"/>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center"/>
    </w:pPr>
    <w:rPr>
      <w:rFonts w:ascii="宋体" w:hAnsi="宋体"/>
      <w:kern w:val="0"/>
      <w:sz w:val="20"/>
      <w:szCs w:val="20"/>
    </w:rPr>
  </w:style>
  <w:style w:type="paragraph" w:customStyle="1" w:styleId="485">
    <w:name w:val="button"/>
    <w:basedOn w:val="1"/>
    <w:uiPriority w:val="0"/>
    <w:pPr>
      <w:widowControl/>
      <w:spacing w:before="100" w:beforeLines="0" w:beforeAutospacing="1" w:after="100" w:afterLines="0" w:afterAutospacing="1"/>
      <w:jc w:val="left"/>
    </w:pPr>
    <w:rPr>
      <w:rFonts w:ascii="Arial Unicode MS" w:hAnsi="Arial Unicode MS"/>
      <w:color w:val="000000"/>
      <w:kern w:val="0"/>
      <w:sz w:val="24"/>
    </w:rPr>
  </w:style>
  <w:style w:type="paragraph" w:customStyle="1" w:styleId="486">
    <w:name w:val="Char Char4 Char Char"/>
    <w:basedOn w:val="1"/>
    <w:uiPriority w:val="0"/>
    <w:pPr>
      <w:widowControl/>
      <w:adjustRightInd/>
      <w:spacing w:after="160" w:line="240" w:lineRule="exact"/>
      <w:jc w:val="left"/>
    </w:pPr>
  </w:style>
  <w:style w:type="paragraph" w:customStyle="1" w:styleId="487">
    <w:name w:val="MM Topic 4"/>
    <w:basedOn w:val="5"/>
    <w:uiPriority w:val="0"/>
    <w:pPr>
      <w:numPr>
        <w:ilvl w:val="3"/>
        <w:numId w:val="4"/>
      </w:numPr>
      <w:tabs>
        <w:tab w:val="clear" w:pos="864"/>
      </w:tabs>
      <w:adjustRightInd/>
    </w:pPr>
    <w:rPr>
      <w:lang w:val="en-US"/>
    </w:rPr>
  </w:style>
  <w:style w:type="paragraph" w:customStyle="1" w:styleId="488">
    <w:name w:val="正文格式"/>
    <w:basedOn w:val="1"/>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489">
    <w:name w:val="Char Char Char Char"/>
    <w:basedOn w:val="1"/>
    <w:uiPriority w:val="0"/>
    <w:pPr>
      <w:widowControl/>
      <w:spacing w:after="160" w:afterLines="0" w:line="240" w:lineRule="exact"/>
      <w:jc w:val="left"/>
    </w:pPr>
    <w:rPr>
      <w:rFonts w:ascii="Arial" w:hAnsi="Arial" w:eastAsia="Times New Roman" w:cs="Verdana"/>
      <w:b/>
      <w:kern w:val="0"/>
      <w:sz w:val="24"/>
      <w:szCs w:val="20"/>
      <w:lang w:eastAsia="en-US"/>
    </w:rPr>
  </w:style>
  <w:style w:type="paragraph" w:customStyle="1" w:styleId="490">
    <w:name w:val="标书标题3"/>
    <w:basedOn w:val="4"/>
    <w:uiPriority w:val="0"/>
    <w:pPr>
      <w:keepLines w:val="0"/>
      <w:widowControl/>
      <w:numPr>
        <w:ilvl w:val="2"/>
        <w:numId w:val="0"/>
      </w:numPr>
      <w:snapToGrid w:val="0"/>
      <w:spacing w:before="120" w:beforeLines="0" w:after="60" w:afterLines="0" w:line="300" w:lineRule="auto"/>
      <w:jc w:val="left"/>
    </w:pPr>
    <w:rPr>
      <w:rFonts w:ascii="Arial Narrow" w:hAnsi="Arial Narrow" w:eastAsia="仿宋_GB2312"/>
      <w:b w:val="0"/>
      <w:bCs w:val="0"/>
      <w:color w:val="000000"/>
      <w:kern w:val="0"/>
      <w:sz w:val="28"/>
      <w:lang w:val="en-US" w:eastAsia="zh-CN"/>
    </w:rPr>
  </w:style>
  <w:style w:type="paragraph" w:customStyle="1" w:styleId="491">
    <w:name w:val="legal"/>
    <w:basedOn w:val="1"/>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492">
    <w:name w:val="chart text"/>
    <w:basedOn w:val="1"/>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493">
    <w:name w:val="标题4_自定义"/>
    <w:basedOn w:val="5"/>
    <w:uiPriority w:val="0"/>
    <w:pPr>
      <w:numPr>
        <w:ilvl w:val="3"/>
        <w:numId w:val="0"/>
      </w:numPr>
      <w:adjustRightInd/>
      <w:spacing w:before="0" w:beforeLines="0" w:after="0" w:afterLines="0" w:line="360" w:lineRule="auto"/>
    </w:pPr>
    <w:rPr>
      <w:rFonts w:ascii="Verdana" w:eastAsia="Verdana"/>
      <w:sz w:val="21"/>
      <w:lang w:val="en-US"/>
    </w:rPr>
  </w:style>
  <w:style w:type="paragraph" w:customStyle="1" w:styleId="494">
    <w:name w:val=" Char Char Char Char Char Char Char"/>
    <w:basedOn w:val="1"/>
    <w:uiPriority w:val="0"/>
    <w:rPr>
      <w:rFonts w:ascii="仿宋_GB2312" w:eastAsia="仿宋_GB2312"/>
      <w:b/>
      <w:sz w:val="32"/>
      <w:szCs w:val="32"/>
    </w:rPr>
  </w:style>
  <w:style w:type="paragraph" w:customStyle="1" w:styleId="495">
    <w:name w:val="Char Char Char Char Char Char Char Char Char"/>
    <w:basedOn w:val="1"/>
    <w:uiPriority w:val="0"/>
    <w:pPr>
      <w:adjustRightInd/>
      <w:ind w:firstLine="200" w:firstLineChars="200"/>
    </w:pPr>
    <w:rPr>
      <w:rFonts w:ascii="Tahoma" w:hAnsi="Tahoma"/>
      <w:sz w:val="24"/>
      <w:szCs w:val="20"/>
    </w:rPr>
  </w:style>
  <w:style w:type="paragraph" w:customStyle="1" w:styleId="496">
    <w:name w:val="f9a style88 f9a"/>
    <w:basedOn w:val="1"/>
    <w:uiPriority w:val="0"/>
    <w:pPr>
      <w:widowControl/>
      <w:spacing w:before="100" w:beforeLines="0" w:beforeAutospacing="1" w:after="100" w:afterLines="0" w:afterAutospacing="1" w:line="276" w:lineRule="auto"/>
      <w:jc w:val="left"/>
    </w:pPr>
    <w:rPr>
      <w:rFonts w:ascii="宋体" w:hAnsi="宋体"/>
      <w:kern w:val="0"/>
      <w:sz w:val="24"/>
      <w:szCs w:val="20"/>
    </w:rPr>
  </w:style>
  <w:style w:type="paragraph" w:customStyle="1" w:styleId="497">
    <w:name w:val="trademark"/>
    <w:uiPriority w:val="0"/>
    <w:pPr>
      <w:spacing w:after="60"/>
    </w:pPr>
    <w:rPr>
      <w:rFonts w:ascii="Futura Bk" w:hAnsi="Futura Bk" w:eastAsia="宋体" w:cs="Times New Roman"/>
      <w:sz w:val="15"/>
      <w:lang w:val="en-US" w:eastAsia="en-US" w:bidi="ar-SA"/>
    </w:rPr>
  </w:style>
  <w:style w:type="paragraph" w:customStyle="1" w:styleId="498">
    <w:name w:val="默认段落字体 Para Char Char Char Char Char Char Char Char Char Char Char Char Char Char Char Char Char Char Char"/>
    <w:basedOn w:val="1"/>
    <w:uiPriority w:val="0"/>
    <w:rPr>
      <w:rFonts w:ascii="Tahoma" w:hAnsi="Tahoma"/>
      <w:sz w:val="24"/>
      <w:szCs w:val="20"/>
    </w:rPr>
  </w:style>
  <w:style w:type="paragraph" w:customStyle="1" w:styleId="499">
    <w:name w:val="单元格左对齐"/>
    <w:basedOn w:val="1"/>
    <w:uiPriority w:val="0"/>
    <w:pPr>
      <w:adjustRightInd/>
      <w:spacing w:line="360" w:lineRule="auto"/>
    </w:pPr>
    <w:rPr>
      <w:sz w:val="24"/>
    </w:rPr>
  </w:style>
  <w:style w:type="paragraph" w:customStyle="1" w:styleId="500">
    <w:name w:val="标书标题4"/>
    <w:basedOn w:val="5"/>
    <w:uiPriority w:val="0"/>
    <w:pPr>
      <w:keepLines w:val="0"/>
      <w:numPr>
        <w:ilvl w:val="3"/>
        <w:numId w:val="0"/>
      </w:numPr>
      <w:snapToGrid w:val="0"/>
      <w:spacing w:before="0" w:beforeLines="0" w:after="0" w:afterLines="0" w:line="300" w:lineRule="auto"/>
    </w:pPr>
    <w:rPr>
      <w:rFonts w:ascii="Arial Narrow" w:hAnsi="Arial Narrow" w:eastAsia="仿宋_GB2312"/>
      <w:bCs w:val="0"/>
      <w:color w:val="000000"/>
      <w:kern w:val="0"/>
      <w:szCs w:val="32"/>
      <w:lang w:val="en-US"/>
    </w:rPr>
  </w:style>
  <w:style w:type="paragraph" w:customStyle="1" w:styleId="501">
    <w:name w:val="文档正文"/>
    <w:basedOn w:val="1"/>
    <w:uiPriority w:val="0"/>
    <w:pPr>
      <w:adjustRightInd w:val="0"/>
      <w:spacing w:line="480" w:lineRule="atLeast"/>
      <w:ind w:firstLine="567"/>
      <w:textAlignment w:val="baseline"/>
    </w:pPr>
    <w:rPr>
      <w:kern w:val="0"/>
      <w:sz w:val="24"/>
      <w:szCs w:val="20"/>
    </w:rPr>
  </w:style>
  <w:style w:type="paragraph" w:customStyle="1" w:styleId="502">
    <w:name w:val="样式 样式 正文文本缩进 + 仿宋_GB2312 小四 首行缩进:  0 厘米 行距: 1.5 倍行距 + (中文) 仿宋_GB... Char Char"/>
    <w:basedOn w:val="1"/>
    <w:uiPriority w:val="0"/>
    <w:pPr>
      <w:spacing w:line="360" w:lineRule="auto"/>
      <w:ind w:firstLine="480" w:firstLineChars="200"/>
    </w:pPr>
    <w:rPr>
      <w:rFonts w:ascii="仿宋_GB2312" w:eastAsia="新宋体"/>
      <w:sz w:val="24"/>
      <w:szCs w:val="20"/>
    </w:rPr>
  </w:style>
  <w:style w:type="paragraph" w:customStyle="1" w:styleId="503">
    <w:name w:val="表格题注"/>
    <w:next w:val="1"/>
    <w:uiPriority w:val="0"/>
    <w:pPr>
      <w:keepLines/>
      <w:numPr>
        <w:ilvl w:val="8"/>
        <w:numId w:val="4"/>
      </w:numPr>
      <w:spacing w:before="312" w:beforeLines="100"/>
      <w:ind w:left="1089" w:hanging="369"/>
      <w:jc w:val="center"/>
    </w:pPr>
    <w:rPr>
      <w:rFonts w:ascii="Arial" w:hAnsi="Arial" w:eastAsia="宋体" w:cs="Times New Roman"/>
      <w:sz w:val="18"/>
      <w:szCs w:val="18"/>
      <w:lang w:val="en-US" w:eastAsia="zh-CN" w:bidi="ar-SA"/>
    </w:rPr>
  </w:style>
  <w:style w:type="paragraph" w:customStyle="1" w:styleId="504">
    <w:name w:val="有符号正文"/>
    <w:basedOn w:val="1"/>
    <w:uiPriority w:val="0"/>
    <w:pPr>
      <w:adjustRightInd/>
      <w:spacing w:line="400" w:lineRule="exact"/>
      <w:ind w:firstLine="200" w:firstLineChars="200"/>
    </w:pPr>
    <w:rPr>
      <w:rFonts w:ascii="Arial" w:hAnsi="Arial"/>
    </w:rPr>
  </w:style>
  <w:style w:type="paragraph" w:customStyle="1" w:styleId="505">
    <w:name w:val="正文缩进1"/>
    <w:basedOn w:val="1"/>
    <w:next w:val="23"/>
    <w:uiPriority w:val="0"/>
    <w:pPr>
      <w:autoSpaceDE w:val="0"/>
      <w:autoSpaceDN w:val="0"/>
      <w:adjustRightInd w:val="0"/>
      <w:snapToGrid w:val="0"/>
      <w:spacing w:after="120" w:afterLines="0" w:line="360" w:lineRule="auto"/>
      <w:ind w:left="420" w:leftChars="200" w:firstLine="480" w:firstLineChars="200"/>
    </w:pPr>
    <w:rPr>
      <w:sz w:val="24"/>
      <w:szCs w:val="21"/>
    </w:rPr>
  </w:style>
  <w:style w:type="paragraph" w:customStyle="1" w:styleId="506">
    <w:name w:val="Th"/>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07">
    <w:name w:val="正文1"/>
    <w:basedOn w:val="30"/>
    <w:qFormat/>
    <w:uiPriority w:val="0"/>
    <w:pPr>
      <w:ind w:left="0" w:leftChars="0" w:firstLine="480" w:firstLineChars="200"/>
    </w:pPr>
    <w:rPr>
      <w:rFonts w:ascii="仿宋_GB2312" w:hAnsi="Courier New" w:eastAsia="仿宋_GB2312"/>
      <w:kern w:val="28"/>
      <w:sz w:val="24"/>
    </w:rPr>
  </w:style>
  <w:style w:type="paragraph" w:customStyle="1" w:styleId="508">
    <w:name w:val="tabletext"/>
    <w:basedOn w:val="1"/>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509">
    <w:name w:val=" Char Char Char Char Char Char1 Char"/>
    <w:basedOn w:val="1"/>
    <w:uiPriority w:val="0"/>
    <w:pPr>
      <w:widowControl/>
      <w:spacing w:after="160" w:afterLines="0" w:line="240" w:lineRule="exact"/>
      <w:jc w:val="left"/>
    </w:pPr>
    <w:rPr>
      <w:rFonts w:ascii="Verdana" w:hAnsi="Verdana"/>
      <w:kern w:val="0"/>
      <w:szCs w:val="20"/>
      <w:lang w:eastAsia="en-US"/>
    </w:rPr>
  </w:style>
  <w:style w:type="paragraph" w:customStyle="1" w:styleId="510">
    <w:name w:val="style82 f9a f9a f9a"/>
    <w:basedOn w:val="1"/>
    <w:uiPriority w:val="0"/>
    <w:pPr>
      <w:widowControl/>
      <w:spacing w:before="100" w:beforeLines="0" w:beforeAutospacing="1" w:after="100" w:afterLines="0" w:afterAutospacing="1" w:line="276" w:lineRule="auto"/>
      <w:jc w:val="left"/>
    </w:pPr>
    <w:rPr>
      <w:rFonts w:ascii="宋体" w:hAnsi="宋体"/>
      <w:kern w:val="0"/>
      <w:sz w:val="24"/>
      <w:szCs w:val="20"/>
    </w:rPr>
  </w:style>
  <w:style w:type="paragraph" w:customStyle="1" w:styleId="511">
    <w:name w:val="正文表标题"/>
    <w:next w:val="96"/>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512">
    <w:name w:val="标书标题2"/>
    <w:basedOn w:val="3"/>
    <w:uiPriority w:val="0"/>
    <w:pPr>
      <w:keepLines w:val="0"/>
      <w:widowControl/>
      <w:numPr>
        <w:ilvl w:val="0"/>
        <w:numId w:val="0"/>
      </w:numPr>
      <w:tabs>
        <w:tab w:val="left" w:pos="840"/>
        <w:tab w:val="clear" w:pos="432"/>
      </w:tabs>
      <w:adjustRightInd w:val="0"/>
      <w:snapToGrid w:val="0"/>
      <w:spacing w:before="156" w:beforeLines="50" w:after="60" w:afterLines="0" w:line="300" w:lineRule="auto"/>
      <w:ind w:left="840" w:hanging="420"/>
    </w:pPr>
    <w:rPr>
      <w:rFonts w:ascii="Arial Narrow" w:hAnsi="Arial Narrow"/>
      <w:snapToGrid w:val="0"/>
      <w:kern w:val="0"/>
      <w:szCs w:val="20"/>
      <w:lang w:val="en-US"/>
    </w:rPr>
  </w:style>
  <w:style w:type="paragraph" w:customStyle="1" w:styleId="513">
    <w:name w:val="Default Text"/>
    <w:basedOn w:val="1"/>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514">
    <w:name w:val="font8"/>
    <w:basedOn w:val="1"/>
    <w:uiPriority w:val="0"/>
    <w:pPr>
      <w:widowControl/>
      <w:adjustRightInd/>
      <w:spacing w:before="100" w:beforeLines="0" w:beforeAutospacing="1" w:after="100" w:afterLines="0" w:afterAutospacing="1"/>
      <w:jc w:val="left"/>
    </w:pPr>
    <w:rPr>
      <w:color w:val="000000"/>
      <w:kern w:val="0"/>
      <w:sz w:val="20"/>
      <w:szCs w:val="20"/>
    </w:rPr>
  </w:style>
  <w:style w:type="paragraph" w:customStyle="1" w:styleId="515">
    <w:name w:val="Char2 Char Char Char"/>
    <w:basedOn w:val="1"/>
    <w:uiPriority w:val="0"/>
    <w:rPr>
      <w:rFonts w:ascii="仿宋_GB2312" w:eastAsia="仿宋_GB2312"/>
      <w:b/>
      <w:sz w:val="32"/>
      <w:szCs w:val="32"/>
    </w:rPr>
  </w:style>
  <w:style w:type="paragraph" w:customStyle="1" w:styleId="516">
    <w:name w:val="bt1bt1"/>
    <w:basedOn w:val="2"/>
    <w:qFormat/>
    <w:uiPriority w:val="0"/>
    <w:pPr>
      <w:spacing w:line="240" w:lineRule="auto"/>
      <w:jc w:val="center"/>
    </w:pPr>
    <w:rPr>
      <w:rFonts w:ascii="黑体" w:eastAsia="黑体" w:cs="宋体"/>
      <w:b w:val="0"/>
      <w:bCs w:val="0"/>
      <w:sz w:val="36"/>
      <w:szCs w:val="36"/>
      <w:lang w:bidi="ar-SA"/>
    </w:rPr>
  </w:style>
  <w:style w:type="paragraph" w:customStyle="1" w:styleId="517">
    <w:name w:val="_Style 516"/>
    <w:uiPriority w:val="0"/>
    <w:rPr>
      <w:rFonts w:ascii="Times New Roman" w:hAnsi="Times New Roman" w:eastAsia="宋体" w:cs="Times New Roman"/>
      <w:kern w:val="2"/>
      <w:sz w:val="21"/>
      <w:lang w:val="en-US" w:eastAsia="zh-CN" w:bidi="ar-SA"/>
    </w:rPr>
  </w:style>
  <w:style w:type="paragraph" w:customStyle="1" w:styleId="518">
    <w:name w:val=" Char Char28"/>
    <w:basedOn w:val="1"/>
    <w:uiPriority w:val="0"/>
    <w:pPr>
      <w:adjustRightInd/>
      <w:snapToGrid w:val="0"/>
      <w:spacing w:line="360" w:lineRule="auto"/>
    </w:pPr>
    <w:rPr>
      <w:rFonts w:ascii="Arial" w:hAnsi="Arial" w:eastAsia="黑体"/>
      <w:snapToGrid w:val="0"/>
      <w:kern w:val="0"/>
      <w:sz w:val="20"/>
      <w:szCs w:val="21"/>
    </w:rPr>
  </w:style>
  <w:style w:type="paragraph" w:customStyle="1" w:styleId="519">
    <w:name w:val=" Char Char Char Char Char Char"/>
    <w:basedOn w:val="1"/>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520">
    <w:name w:val="文章标题"/>
    <w:next w:val="521"/>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521">
    <w:name w:val="封面公司名"/>
    <w:uiPriority w:val="0"/>
    <w:pPr>
      <w:jc w:val="center"/>
    </w:pPr>
    <w:rPr>
      <w:rFonts w:ascii="Arial" w:hAnsi="Arial" w:eastAsia="楷体_GB2312" w:cs="宋体"/>
      <w:bCs/>
      <w:kern w:val="2"/>
      <w:sz w:val="28"/>
      <w:lang w:val="en-US" w:eastAsia="zh-CN" w:bidi="ar-SA"/>
    </w:rPr>
  </w:style>
  <w:style w:type="paragraph" w:customStyle="1" w:styleId="522">
    <w:name w:val="xl38"/>
    <w:basedOn w:val="1"/>
    <w:uiPriority w:val="0"/>
    <w:pPr>
      <w:widowControl/>
      <w:pBdr>
        <w:top w:val="single" w:color="auto" w:sz="4" w:space="0"/>
        <w:left w:val="single" w:color="auto" w:sz="4" w:space="0"/>
        <w:right w:val="single" w:color="auto" w:sz="4" w:space="0"/>
      </w:pBdr>
      <w:adjustRightInd/>
      <w:spacing w:before="100" w:beforeLines="0" w:beforeAutospacing="1" w:after="100" w:afterLines="0" w:afterAutospacing="1" w:line="360" w:lineRule="auto"/>
      <w:ind w:firstLine="480" w:firstLineChars="200"/>
      <w:jc w:val="center"/>
    </w:pPr>
    <w:rPr>
      <w:rFonts w:ascii="宋体" w:hAnsi="宋体" w:eastAsia="微软雅黑"/>
      <w:kern w:val="0"/>
      <w:sz w:val="20"/>
      <w:szCs w:val="20"/>
    </w:rPr>
  </w:style>
  <w:style w:type="paragraph" w:customStyle="1" w:styleId="523">
    <w:name w:val="xl39"/>
    <w:basedOn w:val="1"/>
    <w:uiPriority w:val="0"/>
    <w:pPr>
      <w:widowControl/>
      <w:pBdr>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center"/>
    </w:pPr>
    <w:rPr>
      <w:rFonts w:ascii="宋体" w:hAnsi="宋体"/>
      <w:kern w:val="0"/>
      <w:sz w:val="20"/>
      <w:szCs w:val="20"/>
    </w:rPr>
  </w:style>
  <w:style w:type="paragraph" w:customStyle="1" w:styleId="524">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525">
    <w:name w:val=" Char2 Char Char Char"/>
    <w:basedOn w:val="1"/>
    <w:uiPriority w:val="0"/>
    <w:rPr>
      <w:rFonts w:ascii="仿宋_GB2312" w:eastAsia="仿宋_GB2312"/>
      <w:b/>
      <w:sz w:val="32"/>
      <w:szCs w:val="32"/>
    </w:rPr>
  </w:style>
  <w:style w:type="paragraph" w:customStyle="1" w:styleId="526">
    <w:name w:val="小节"/>
    <w:basedOn w:val="4"/>
    <w:uiPriority w:val="0"/>
    <w:pPr>
      <w:numPr>
        <w:ilvl w:val="2"/>
        <w:numId w:val="0"/>
      </w:numPr>
      <w:adjustRightInd/>
      <w:spacing w:before="200" w:beforeLines="0" w:after="200" w:afterLines="0" w:line="560" w:lineRule="exact"/>
      <w:jc w:val="left"/>
    </w:pPr>
    <w:rPr>
      <w:rFonts w:ascii="宋体" w:hAnsi="宋体"/>
      <w:bCs w:val="0"/>
      <w:color w:val="000000"/>
      <w:spacing w:val="10"/>
      <w:kern w:val="24"/>
      <w:sz w:val="28"/>
      <w:lang w:val="en-US" w:eastAsia="zh-CN"/>
    </w:rPr>
  </w:style>
  <w:style w:type="paragraph" w:customStyle="1" w:styleId="527">
    <w:name w:val="xl33"/>
    <w:basedOn w:val="1"/>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textAlignment w:val="top"/>
    </w:pPr>
    <w:rPr>
      <w:rFonts w:ascii="宋体" w:hAnsi="宋体"/>
      <w:kern w:val="0"/>
      <w:sz w:val="20"/>
      <w:szCs w:val="20"/>
    </w:rPr>
  </w:style>
  <w:style w:type="paragraph" w:customStyle="1" w:styleId="528">
    <w:name w:val="Test2"/>
    <w:basedOn w:val="3"/>
    <w:uiPriority w:val="0"/>
    <w:pPr>
      <w:widowControl/>
      <w:adjustRightInd w:val="0"/>
      <w:snapToGrid w:val="0"/>
      <w:spacing w:before="360" w:beforeLines="0" w:after="360" w:afterLines="0" w:line="240" w:lineRule="atLeast"/>
    </w:pPr>
    <w:rPr>
      <w:rFonts w:ascii="宋体" w:hAnsi="Arial" w:eastAsia="宋体"/>
      <w:snapToGrid w:val="0"/>
      <w:kern w:val="0"/>
      <w:sz w:val="28"/>
      <w:szCs w:val="32"/>
      <w:lang w:val="en-US"/>
    </w:rPr>
  </w:style>
  <w:style w:type="paragraph" w:customStyle="1" w:styleId="529">
    <w:name w:val="_Style 10"/>
    <w:basedOn w:val="1"/>
    <w:uiPriority w:val="0"/>
    <w:pPr>
      <w:adjustRightInd/>
      <w:spacing w:line="360" w:lineRule="auto"/>
    </w:pPr>
    <w:rPr>
      <w:rFonts w:ascii="Arial" w:hAnsi="Arial" w:eastAsia="黑体"/>
      <w:snapToGrid w:val="0"/>
      <w:kern w:val="0"/>
      <w:sz w:val="20"/>
      <w:szCs w:val="21"/>
    </w:rPr>
  </w:style>
  <w:style w:type="paragraph" w:customStyle="1" w:styleId="530">
    <w:name w:val="列出段落1"/>
    <w:basedOn w:val="1"/>
    <w:qFormat/>
    <w:uiPriority w:val="34"/>
    <w:pPr>
      <w:adjustRightInd/>
      <w:spacing w:line="360" w:lineRule="auto"/>
      <w:ind w:firstLine="420" w:firstLineChars="200"/>
    </w:pPr>
    <w:rPr>
      <w:rFonts w:ascii="Calibri" w:hAnsi="Calibri"/>
      <w:sz w:val="24"/>
      <w:szCs w:val="22"/>
    </w:rPr>
  </w:style>
  <w:style w:type="paragraph" w:customStyle="1" w:styleId="531">
    <w:name w:val="xl35"/>
    <w:basedOn w:val="1"/>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center"/>
    </w:pPr>
    <w:rPr>
      <w:rFonts w:ascii="宋体" w:hAnsi="宋体"/>
      <w:kern w:val="0"/>
      <w:sz w:val="20"/>
      <w:szCs w:val="20"/>
    </w:rPr>
  </w:style>
  <w:style w:type="paragraph" w:customStyle="1" w:styleId="532">
    <w:name w:val="小节标题"/>
    <w:basedOn w:val="1"/>
    <w:uiPriority w:val="0"/>
    <w:pPr>
      <w:autoSpaceDE w:val="0"/>
      <w:autoSpaceDN w:val="0"/>
      <w:spacing w:before="175" w:beforeLines="0" w:after="102" w:afterLines="0" w:line="351" w:lineRule="atLeast"/>
      <w:ind w:firstLine="200" w:firstLineChars="200"/>
    </w:pPr>
    <w:rPr>
      <w:color w:val="000000"/>
      <w:kern w:val="0"/>
      <w:szCs w:val="21"/>
    </w:rPr>
  </w:style>
  <w:style w:type="paragraph" w:customStyle="1" w:styleId="533">
    <w:name w:val="正文4"/>
    <w:basedOn w:val="1"/>
    <w:uiPriority w:val="0"/>
    <w:pPr>
      <w:tabs>
        <w:tab w:val="left" w:pos="720"/>
      </w:tabs>
      <w:adjustRightInd/>
      <w:spacing w:before="60" w:beforeLines="0" w:after="60" w:afterLines="0" w:line="360" w:lineRule="auto"/>
      <w:ind w:left="575" w:leftChars="400" w:hanging="175" w:hangingChars="175"/>
    </w:pPr>
    <w:rPr>
      <w:sz w:val="24"/>
    </w:rPr>
  </w:style>
  <w:style w:type="paragraph" w:customStyle="1" w:styleId="534">
    <w:name w:val="Char2 Char Char"/>
    <w:basedOn w:val="1"/>
    <w:uiPriority w:val="0"/>
    <w:pPr>
      <w:adjustRightInd/>
    </w:pPr>
    <w:rPr>
      <w:rFonts w:ascii="Tahoma" w:hAnsi="Tahoma"/>
      <w:sz w:val="24"/>
      <w:szCs w:val="20"/>
    </w:rPr>
  </w:style>
  <w:style w:type="paragraph" w:customStyle="1" w:styleId="535">
    <w:name w:val="??"/>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536">
    <w:name w:val="Char1 Char Char Char2"/>
    <w:basedOn w:val="1"/>
    <w:uiPriority w:val="0"/>
    <w:pPr>
      <w:adjustRightInd/>
      <w:ind w:firstLine="200" w:firstLineChars="200"/>
    </w:pPr>
    <w:rPr>
      <w:rFonts w:ascii="Tahoma" w:hAnsi="Tahoma"/>
      <w:sz w:val="24"/>
      <w:szCs w:val="20"/>
    </w:rPr>
  </w:style>
  <w:style w:type="paragraph" w:customStyle="1" w:styleId="537">
    <w:name w:val="标准正文格式"/>
    <w:basedOn w:val="1"/>
    <w:uiPriority w:val="0"/>
    <w:pPr>
      <w:widowControl/>
      <w:spacing w:before="60" w:beforeLines="0" w:after="120" w:afterLines="0" w:line="360" w:lineRule="auto"/>
      <w:ind w:firstLine="200" w:firstLineChars="200"/>
      <w:textAlignment w:val="baseline"/>
    </w:pPr>
    <w:rPr>
      <w:rFonts w:ascii="宋体" w:eastAsia="仿宋_GB2312" w:cs="宋体"/>
      <w:color w:val="000000"/>
      <w:kern w:val="0"/>
      <w:sz w:val="24"/>
      <w:szCs w:val="20"/>
    </w:rPr>
  </w:style>
  <w:style w:type="paragraph" w:customStyle="1" w:styleId="538">
    <w:name w:val="MM Topic 5"/>
    <w:basedOn w:val="7"/>
    <w:uiPriority w:val="0"/>
    <w:pPr>
      <w:numPr>
        <w:ilvl w:val="4"/>
        <w:numId w:val="4"/>
      </w:numPr>
      <w:tabs>
        <w:tab w:val="clear" w:pos="1008"/>
      </w:tabs>
      <w:adjustRightInd/>
    </w:pPr>
  </w:style>
  <w:style w:type="paragraph" w:customStyle="1" w:styleId="539">
    <w:name w:val="Char Char Char1 Char"/>
    <w:basedOn w:val="1"/>
    <w:uiPriority w:val="0"/>
    <w:rPr>
      <w:szCs w:val="20"/>
    </w:rPr>
  </w:style>
  <w:style w:type="paragraph" w:customStyle="1" w:styleId="540">
    <w:name w:val="表格标题1"/>
    <w:basedOn w:val="1"/>
    <w:uiPriority w:val="0"/>
    <w:pPr>
      <w:adjustRightInd/>
      <w:spacing w:line="360" w:lineRule="auto"/>
      <w:jc w:val="center"/>
    </w:pPr>
    <w:rPr>
      <w:rFonts w:ascii="宋体" w:hAnsi="宋体" w:cs="宋体"/>
      <w:b/>
      <w:bCs/>
      <w:color w:val="000000"/>
      <w:sz w:val="24"/>
      <w:szCs w:val="21"/>
    </w:rPr>
  </w:style>
  <w:style w:type="paragraph" w:customStyle="1" w:styleId="541">
    <w:name w:val="xl40"/>
    <w:basedOn w:val="1"/>
    <w:uiPriority w:val="0"/>
    <w:pPr>
      <w:widowControl/>
      <w:pBdr>
        <w:top w:val="single" w:color="auto" w:sz="4" w:space="0"/>
        <w:bottom w:val="single" w:color="auto" w:sz="4" w:space="0"/>
        <w:right w:val="single" w:color="auto" w:sz="4" w:space="0"/>
      </w:pBdr>
      <w:adjustRightInd/>
      <w:spacing w:before="100" w:beforeLines="0" w:beforeAutospacing="1" w:after="100" w:afterLines="0" w:afterAutospacing="1"/>
      <w:ind w:firstLine="200" w:firstLineChars="200"/>
      <w:jc w:val="center"/>
    </w:pPr>
    <w:rPr>
      <w:rFonts w:ascii="微软雅黑" w:hAnsi="微软雅黑" w:eastAsia="微软雅黑" w:cs="宋体"/>
      <w:b/>
      <w:bCs/>
      <w:kern w:val="0"/>
      <w:sz w:val="24"/>
    </w:rPr>
  </w:style>
  <w:style w:type="paragraph" w:customStyle="1" w:styleId="542">
    <w:name w:val=" Char"/>
    <w:basedOn w:val="1"/>
    <w:uiPriority w:val="0"/>
    <w:rPr>
      <w:rFonts w:ascii="仿宋_GB2312" w:eastAsia="仿宋_GB2312"/>
      <w:b/>
      <w:sz w:val="32"/>
      <w:szCs w:val="32"/>
    </w:rPr>
  </w:style>
  <w:style w:type="paragraph" w:customStyle="1" w:styleId="543">
    <w:name w:val="Preformatted Text"/>
    <w:basedOn w:val="1"/>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544">
    <w:name w:val="Char Char Char Char Char Char"/>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545">
    <w:name w:val="Char Char11 Char Char Char Char Char Char Char Char Char Char Char Char Char1"/>
    <w:basedOn w:val="1"/>
    <w:uiPriority w:val="0"/>
    <w:pPr>
      <w:adjustRightInd/>
      <w:spacing w:line="360" w:lineRule="auto"/>
    </w:pPr>
    <w:rPr>
      <w:rFonts w:ascii="Arial" w:hAnsi="Arial" w:eastAsia="黑体" w:cs="Arial"/>
      <w:snapToGrid w:val="0"/>
      <w:kern w:val="0"/>
      <w:szCs w:val="21"/>
    </w:rPr>
  </w:style>
  <w:style w:type="paragraph" w:customStyle="1" w:styleId="546">
    <w:name w:val="Body Text 2"/>
    <w:basedOn w:val="1"/>
    <w:uiPriority w:val="0"/>
    <w:pPr>
      <w:widowControl/>
      <w:overflowPunct w:val="0"/>
      <w:autoSpaceDE w:val="0"/>
      <w:autoSpaceDN w:val="0"/>
      <w:adjustRightInd w:val="0"/>
      <w:ind w:left="720" w:hanging="720"/>
      <w:textAlignment w:val="baseline"/>
    </w:pPr>
    <w:rPr>
      <w:kern w:val="0"/>
      <w:sz w:val="24"/>
      <w:szCs w:val="20"/>
      <w:lang w:val="en-GB"/>
    </w:rPr>
  </w:style>
  <w:style w:type="paragraph" w:customStyle="1" w:styleId="547">
    <w:name w:val=" Char Char Char Char Char Char Char Char Char Char"/>
    <w:basedOn w:val="1"/>
    <w:uiPriority w:val="0"/>
    <w:rPr>
      <w:rFonts w:ascii="仿宋_GB2312" w:eastAsia="仿宋_GB2312"/>
      <w:b/>
      <w:sz w:val="32"/>
      <w:szCs w:val="32"/>
    </w:rPr>
  </w:style>
  <w:style w:type="paragraph" w:customStyle="1" w:styleId="548">
    <w:name w:val="bt_content"/>
    <w:basedOn w:val="1"/>
    <w:uiPriority w:val="0"/>
    <w:pPr>
      <w:widowControl/>
      <w:adjustRightInd/>
      <w:spacing w:before="100" w:beforeLines="0" w:beforeAutospacing="1" w:after="100" w:afterLines="0" w:afterAutospacing="1" w:line="360" w:lineRule="auto"/>
      <w:ind w:firstLine="480" w:firstLineChars="200"/>
      <w:jc w:val="left"/>
    </w:pPr>
    <w:rPr>
      <w:rFonts w:ascii="宋体" w:hAnsi="宋体" w:eastAsia="微软雅黑" w:cs="宋体"/>
      <w:kern w:val="0"/>
      <w:sz w:val="24"/>
    </w:rPr>
  </w:style>
  <w:style w:type="paragraph" w:customStyle="1" w:styleId="549">
    <w:name w:val="默认段落字体 Para Char Char Char Char"/>
    <w:basedOn w:val="1"/>
    <w:uiPriority w:val="0"/>
    <w:pPr>
      <w:spacing w:line="360" w:lineRule="auto"/>
    </w:pPr>
    <w:rPr>
      <w:szCs w:val="20"/>
    </w:rPr>
  </w:style>
  <w:style w:type="paragraph" w:customStyle="1" w:styleId="550">
    <w:name w:val="章正文"/>
    <w:basedOn w:val="1"/>
    <w:uiPriority w:val="0"/>
    <w:pPr>
      <w:adjustRightInd/>
      <w:spacing w:before="156" w:beforeLines="50" w:after="120" w:afterLines="0" w:line="300" w:lineRule="auto"/>
      <w:ind w:firstLine="480" w:firstLineChars="200"/>
    </w:pPr>
    <w:rPr>
      <w:rFonts w:ascii="Helvetica" w:hAnsi="Helvetica"/>
      <w:kern w:val="0"/>
      <w:sz w:val="24"/>
    </w:rPr>
  </w:style>
  <w:style w:type="paragraph" w:customStyle="1" w:styleId="551">
    <w:name w:val="a2"/>
    <w:basedOn w:val="1"/>
    <w:uiPriority w:val="0"/>
    <w:pPr>
      <w:widowControl/>
      <w:adjustRightInd/>
      <w:spacing w:before="100" w:beforeLines="0" w:beforeAutospacing="1" w:after="100" w:afterLines="0" w:afterAutospacing="1"/>
      <w:jc w:val="left"/>
    </w:pPr>
    <w:rPr>
      <w:rFonts w:ascii="宋体" w:hAnsi="宋体" w:cs="宋体"/>
      <w:kern w:val="0"/>
      <w:sz w:val="24"/>
    </w:rPr>
  </w:style>
  <w:style w:type="paragraph" w:customStyle="1" w:styleId="552">
    <w:name w:val=" Char Char1 Char"/>
    <w:basedOn w:val="1"/>
    <w:uiPriority w:val="0"/>
    <w:rPr>
      <w:rFonts w:ascii="仿宋_GB2312" w:eastAsia="仿宋_GB2312"/>
      <w:b/>
      <w:sz w:val="32"/>
      <w:szCs w:val="32"/>
    </w:rPr>
  </w:style>
  <w:style w:type="paragraph" w:customStyle="1" w:styleId="553">
    <w:name w:val="_Style 12"/>
    <w:basedOn w:val="19"/>
    <w:uiPriority w:val="0"/>
    <w:pPr>
      <w:snapToGrid w:val="0"/>
      <w:spacing w:line="360" w:lineRule="auto"/>
    </w:pPr>
  </w:style>
  <w:style w:type="paragraph" w:customStyle="1" w:styleId="554">
    <w:name w:val="Table Text"/>
    <w:basedOn w:val="1"/>
    <w:uiPriority w:val="0"/>
    <w:pPr>
      <w:widowControl/>
      <w:spacing w:before="60" w:beforeLines="0" w:after="60" w:afterLines="0"/>
      <w:jc w:val="left"/>
    </w:pPr>
    <w:rPr>
      <w:kern w:val="0"/>
      <w:sz w:val="24"/>
    </w:rPr>
  </w:style>
  <w:style w:type="paragraph" w:customStyle="1" w:styleId="555">
    <w:name w:val="标1"/>
    <w:basedOn w:val="1"/>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556">
    <w:name w:val="前言、引言标题"/>
    <w:next w:val="1"/>
    <w:autoRedefine/>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styleId="557">
    <w:name w:val="List Paragraph"/>
    <w:basedOn w:val="1"/>
    <w:qFormat/>
    <w:uiPriority w:val="34"/>
    <w:pPr>
      <w:spacing w:line="360" w:lineRule="auto"/>
      <w:ind w:firstLine="200" w:firstLineChars="200"/>
    </w:pPr>
    <w:rPr>
      <w:rFonts w:eastAsia="楷体_GB2312" w:cs="Lucida Sans"/>
      <w:sz w:val="24"/>
    </w:rPr>
  </w:style>
  <w:style w:type="paragraph" w:customStyle="1" w:styleId="558">
    <w:name w:val="左对齐表格文字"/>
    <w:basedOn w:val="1"/>
    <w:uiPriority w:val="0"/>
    <w:pPr>
      <w:adjustRightInd/>
      <w:ind w:firstLine="200" w:firstLineChars="200"/>
      <w:jc w:val="right"/>
    </w:pPr>
  </w:style>
  <w:style w:type="paragraph" w:customStyle="1" w:styleId="559">
    <w:name w:val="9"/>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560">
    <w:name w:val="Char Char1 Char Char Char Char Char Char Char Char Char Char Char Char Char Char Char"/>
    <w:basedOn w:val="1"/>
    <w:uiPriority w:val="0"/>
    <w:pPr>
      <w:widowControl/>
      <w:adjustRightInd/>
      <w:spacing w:after="160" w:afterLines="0" w:line="240" w:lineRule="exact"/>
      <w:ind w:firstLine="200" w:firstLineChars="200"/>
      <w:jc w:val="left"/>
    </w:pPr>
    <w:rPr>
      <w:rFonts w:ascii="Verdana" w:hAnsi="Verdana"/>
      <w:kern w:val="0"/>
      <w:sz w:val="20"/>
      <w:szCs w:val="20"/>
      <w:lang w:eastAsia="en-US"/>
    </w:rPr>
  </w:style>
  <w:style w:type="paragraph" w:customStyle="1" w:styleId="561">
    <w:name w:val="zTableCellBody"/>
    <w:basedOn w:val="1"/>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562">
    <w:name w:val="Char1 Char Char Char1"/>
    <w:basedOn w:val="1"/>
    <w:uiPriority w:val="0"/>
    <w:pPr>
      <w:adjustRightInd/>
      <w:ind w:firstLine="200" w:firstLineChars="200"/>
    </w:pPr>
    <w:rPr>
      <w:rFonts w:ascii="Tahoma" w:hAnsi="Tahoma"/>
      <w:sz w:val="24"/>
      <w:szCs w:val="20"/>
    </w:rPr>
  </w:style>
  <w:style w:type="paragraph" w:customStyle="1" w:styleId="563">
    <w:name w:val="Char"/>
    <w:basedOn w:val="1"/>
    <w:uiPriority w:val="0"/>
    <w:rPr>
      <w:rFonts w:ascii="仿宋_GB2312" w:eastAsia="仿宋_GB2312"/>
      <w:b/>
      <w:sz w:val="32"/>
      <w:szCs w:val="32"/>
    </w:rPr>
  </w:style>
  <w:style w:type="paragraph" w:customStyle="1" w:styleId="564">
    <w:name w:val="样式 标题 3H3 + 两端对齐"/>
    <w:basedOn w:val="4"/>
    <w:uiPriority w:val="0"/>
    <w:pPr>
      <w:keepLines w:val="0"/>
      <w:numPr>
        <w:ilvl w:val="2"/>
        <w:numId w:val="0"/>
      </w:numPr>
      <w:spacing w:before="0" w:beforeLines="0" w:after="0" w:afterLines="0" w:line="240" w:lineRule="auto"/>
      <w:jc w:val="left"/>
    </w:pPr>
    <w:rPr>
      <w:rFonts w:cs="宋体"/>
      <w:sz w:val="21"/>
      <w:szCs w:val="20"/>
    </w:rPr>
  </w:style>
  <w:style w:type="paragraph" w:customStyle="1" w:styleId="565">
    <w:name w:val="Char1 Char Char Char Char Char Char Char Char Char Char Char1 Char Char Char Char Char Char Char Char Char Char Char Char Char Char1 Char Char Char Char"/>
    <w:basedOn w:val="1"/>
    <w:uiPriority w:val="0"/>
    <w:pPr>
      <w:spacing w:line="360" w:lineRule="auto"/>
    </w:pPr>
    <w:rPr>
      <w:kern w:val="0"/>
      <w:sz w:val="24"/>
      <w:szCs w:val="20"/>
    </w:rPr>
  </w:style>
  <w:style w:type="paragraph" w:customStyle="1" w:styleId="566">
    <w:name w:val="正文文本 21"/>
    <w:basedOn w:val="1"/>
    <w:uiPriority w:val="0"/>
    <w:pPr>
      <w:widowControl/>
      <w:overflowPunct w:val="0"/>
      <w:autoSpaceDE w:val="0"/>
      <w:autoSpaceDN w:val="0"/>
      <w:ind w:left="720" w:hanging="720"/>
      <w:textAlignment w:val="baseline"/>
    </w:pPr>
    <w:rPr>
      <w:kern w:val="0"/>
      <w:sz w:val="24"/>
      <w:szCs w:val="20"/>
      <w:lang w:val="en-GB"/>
    </w:rPr>
  </w:style>
  <w:style w:type="paragraph" w:customStyle="1" w:styleId="567">
    <w:name w:val="方案正文"/>
    <w:basedOn w:val="1"/>
    <w:qFormat/>
    <w:uiPriority w:val="0"/>
    <w:pPr>
      <w:adjustRightInd w:val="0"/>
      <w:snapToGrid w:val="0"/>
      <w:spacing w:line="324" w:lineRule="auto"/>
      <w:ind w:firstLine="482" w:firstLineChars="200"/>
    </w:pPr>
    <w:rPr>
      <w:rFonts w:ascii="仿宋_GB2312" w:eastAsia="仿宋_GB2312"/>
      <w:b/>
      <w:color w:val="000000"/>
      <w:sz w:val="24"/>
      <w:szCs w:val="20"/>
    </w:rPr>
  </w:style>
  <w:style w:type="paragraph" w:customStyle="1" w:styleId="568">
    <w:name w:val="body text bold"/>
    <w:basedOn w:val="6"/>
    <w:qFormat/>
    <w:uiPriority w:val="0"/>
    <w:pPr>
      <w:widowControl/>
      <w:autoSpaceDE/>
      <w:autoSpaceDN/>
      <w:adjustRightInd/>
      <w:spacing w:line="240" w:lineRule="auto"/>
      <w:ind w:firstLineChars="200"/>
      <w:jc w:val="left"/>
    </w:pPr>
    <w:rPr>
      <w:rFonts w:ascii="Futura Hv" w:hAnsi="Futura Hv"/>
      <w:kern w:val="0"/>
      <w:sz w:val="18"/>
      <w:szCs w:val="20"/>
      <w:lang w:val="en-US" w:eastAsia="en-US"/>
    </w:rPr>
  </w:style>
  <w:style w:type="paragraph" w:customStyle="1" w:styleId="569">
    <w:name w:val="标题 41"/>
    <w:basedOn w:val="1"/>
    <w:next w:val="1"/>
    <w:unhideWhenUsed/>
    <w:qFormat/>
    <w:uiPriority w:val="9"/>
    <w:pPr>
      <w:keepNext/>
      <w:keepLines/>
      <w:adjustRightInd/>
      <w:spacing w:before="280" w:beforeLines="0" w:after="290" w:afterLines="0" w:line="376" w:lineRule="auto"/>
      <w:outlineLvl w:val="3"/>
    </w:pPr>
    <w:rPr>
      <w:rFonts w:ascii="Cambria" w:hAnsi="Cambria"/>
      <w:b/>
      <w:bCs/>
      <w:sz w:val="28"/>
      <w:szCs w:val="28"/>
    </w:rPr>
  </w:style>
  <w:style w:type="paragraph" w:customStyle="1" w:styleId="570">
    <w:name w:val="WW-正文文字缩进 2"/>
    <w:basedOn w:val="1"/>
    <w:uiPriority w:val="0"/>
    <w:pPr>
      <w:suppressAutoHyphens/>
      <w:adjustRightInd/>
      <w:ind w:firstLine="420"/>
    </w:pPr>
    <w:rPr>
      <w:kern w:val="1"/>
      <w:szCs w:val="20"/>
    </w:rPr>
  </w:style>
  <w:style w:type="paragraph" w:customStyle="1" w:styleId="571">
    <w:name w:val="List Paragraph2"/>
    <w:basedOn w:val="1"/>
    <w:uiPriority w:val="0"/>
    <w:pPr>
      <w:adjustRightInd/>
      <w:spacing w:line="360" w:lineRule="auto"/>
      <w:ind w:firstLine="420" w:firstLineChars="200"/>
    </w:pPr>
    <w:rPr>
      <w:rFonts w:ascii="Calibri" w:hAnsi="Calibri"/>
      <w:sz w:val="24"/>
      <w:szCs w:val="22"/>
    </w:rPr>
  </w:style>
  <w:style w:type="paragraph" w:customStyle="1" w:styleId="572">
    <w:name w:val="样式 样式2 + 左侧:  1 字符 右侧:  1 字符"/>
    <w:basedOn w:val="437"/>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eastAsia="zh-CN"/>
    </w:rPr>
  </w:style>
  <w:style w:type="paragraph" w:customStyle="1" w:styleId="573">
    <w:name w:val="Char Char1 Char Char Char Char Char Char"/>
    <w:basedOn w:val="1"/>
    <w:uiPriority w:val="0"/>
    <w:rPr>
      <w:rFonts w:ascii="仿宋_GB2312" w:eastAsia="仿宋_GB2312"/>
      <w:b/>
      <w:sz w:val="32"/>
      <w:szCs w:val="20"/>
    </w:rPr>
  </w:style>
  <w:style w:type="paragraph" w:customStyle="1" w:styleId="574">
    <w:name w:val="标书表格字体格式"/>
    <w:next w:val="455"/>
    <w:uiPriority w:val="0"/>
    <w:rPr>
      <w:rFonts w:ascii="Times New Roman" w:hAnsi="Times New Roman" w:eastAsia="宋体" w:cs="Times New Roman"/>
      <w:kern w:val="2"/>
      <w:sz w:val="21"/>
      <w:szCs w:val="24"/>
      <w:lang w:val="en-US" w:eastAsia="zh-CN" w:bidi="ar-SA"/>
    </w:rPr>
  </w:style>
  <w:style w:type="paragraph" w:customStyle="1" w:styleId="575">
    <w:name w:val="样式 正文文本缩进 + 段前: 2 字符"/>
    <w:basedOn w:val="1"/>
    <w:uiPriority w:val="0"/>
    <w:pPr>
      <w:adjustRightInd/>
      <w:ind w:left="420" w:leftChars="200"/>
      <w:jc w:val="left"/>
    </w:pPr>
    <w:rPr>
      <w:sz w:val="28"/>
      <w:szCs w:val="20"/>
      <w:lang w:eastAsia="zh-TW"/>
    </w:rPr>
  </w:style>
  <w:style w:type="paragraph" w:customStyle="1" w:styleId="576">
    <w:name w:val="表文字"/>
    <w:uiPriority w:val="0"/>
    <w:rPr>
      <w:rFonts w:ascii="宋体" w:hAnsi="Times New Roman" w:eastAsia="宋体" w:cs="Times New Roman"/>
      <w:kern w:val="2"/>
      <w:lang w:val="en-US" w:eastAsia="zh-CN" w:bidi="ar-SA"/>
    </w:rPr>
  </w:style>
  <w:style w:type="paragraph" w:customStyle="1" w:styleId="577">
    <w:name w:val="CSS1级正文 Char"/>
    <w:basedOn w:val="6"/>
    <w:uiPriority w:val="0"/>
    <w:pPr>
      <w:autoSpaceDE/>
      <w:autoSpaceDN/>
      <w:snapToGrid w:val="0"/>
      <w:ind w:firstLine="480" w:firstLineChars="200"/>
    </w:pPr>
    <w:rPr>
      <w:rFonts w:ascii="Times New Roman"/>
      <w:szCs w:val="24"/>
      <w:lang w:val="en-US" w:eastAsia="zh-CN"/>
    </w:rPr>
  </w:style>
  <w:style w:type="paragraph" w:customStyle="1" w:styleId="578">
    <w:name w:val="节标题"/>
    <w:basedOn w:val="1"/>
    <w:uiPriority w:val="0"/>
    <w:pPr>
      <w:autoSpaceDE w:val="0"/>
      <w:autoSpaceDN w:val="0"/>
      <w:spacing w:line="289" w:lineRule="atLeast"/>
      <w:ind w:firstLine="200" w:firstLineChars="200"/>
      <w:jc w:val="center"/>
    </w:pPr>
    <w:rPr>
      <w:color w:val="000000"/>
      <w:kern w:val="0"/>
      <w:sz w:val="28"/>
      <w:szCs w:val="28"/>
    </w:rPr>
  </w:style>
  <w:style w:type="paragraph" w:customStyle="1" w:styleId="579">
    <w:name w:val="style3"/>
    <w:basedOn w:val="1"/>
    <w:uiPriority w:val="0"/>
    <w:pPr>
      <w:widowControl/>
      <w:adjustRightInd/>
      <w:spacing w:before="100" w:beforeLines="0" w:beforeAutospacing="1" w:after="100" w:afterLines="0" w:afterAutospacing="1" w:line="360" w:lineRule="auto"/>
      <w:ind w:firstLine="480" w:firstLineChars="200"/>
      <w:jc w:val="left"/>
    </w:pPr>
    <w:rPr>
      <w:rFonts w:ascii="宋体" w:hAnsi="宋体" w:eastAsia="微软雅黑"/>
      <w:color w:val="666666"/>
      <w:kern w:val="0"/>
      <w:sz w:val="24"/>
    </w:rPr>
  </w:style>
  <w:style w:type="paragraph" w:customStyle="1" w:styleId="580">
    <w:name w:val="样式6"/>
    <w:basedOn w:val="31"/>
    <w:qFormat/>
    <w:uiPriority w:val="0"/>
    <w:pPr>
      <w:spacing w:line="460" w:lineRule="exact"/>
      <w:outlineLvl w:val="2"/>
    </w:pPr>
    <w:rPr>
      <w:rFonts w:ascii="仿宋_GB2312" w:hAnsi="宋体" w:eastAsia="仿宋_GB2312"/>
      <w:b/>
      <w:bCs/>
      <w:sz w:val="24"/>
      <w:szCs w:val="24"/>
    </w:rPr>
  </w:style>
  <w:style w:type="paragraph" w:customStyle="1" w:styleId="581">
    <w:name w:val="小标题"/>
    <w:basedOn w:val="1"/>
    <w:uiPriority w:val="0"/>
    <w:pPr>
      <w:spacing w:before="120" w:beforeLines="0" w:line="360" w:lineRule="atLeast"/>
      <w:ind w:left="1134"/>
      <w:jc w:val="left"/>
      <w:textAlignment w:val="baseline"/>
    </w:pPr>
    <w:rPr>
      <w:rFonts w:eastAsia="黑体"/>
      <w:kern w:val="0"/>
      <w:szCs w:val="20"/>
    </w:rPr>
  </w:style>
  <w:style w:type="paragraph" w:customStyle="1" w:styleId="582">
    <w:name w:val="Bulleting First Indent 1"/>
    <w:basedOn w:val="58"/>
    <w:uiPriority w:val="0"/>
    <w:pPr>
      <w:tabs>
        <w:tab w:val="left" w:pos="840"/>
      </w:tabs>
      <w:autoSpaceDE/>
      <w:autoSpaceDN/>
      <w:adjustRightInd/>
      <w:spacing w:before="20" w:after="20" w:line="300" w:lineRule="auto"/>
      <w:ind w:left="840" w:hanging="420"/>
    </w:pPr>
    <w:rPr>
      <w:rFonts w:ascii="Tahoma" w:hAnsi="Tahoma"/>
      <w:kern w:val="0"/>
      <w:sz w:val="21"/>
      <w:szCs w:val="21"/>
      <w:lang w:val="en-US" w:eastAsia="zh-CN"/>
    </w:rPr>
  </w:style>
  <w:style w:type="paragraph" w:customStyle="1" w:styleId="583">
    <w:name w:val="默认段落字体 Para Char Char Char Char Char Char Char Char Char Char"/>
    <w:basedOn w:val="1"/>
    <w:uiPriority w:val="0"/>
    <w:pPr>
      <w:adjustRightInd/>
    </w:pPr>
    <w:rPr>
      <w:rFonts w:ascii="Tahoma" w:hAnsi="Tahoma"/>
      <w:color w:val="000000"/>
      <w:sz w:val="24"/>
      <w:szCs w:val="20"/>
    </w:rPr>
  </w:style>
  <w:style w:type="paragraph" w:customStyle="1" w:styleId="584">
    <w:name w:val="样式 正文文本缩进 2 + 仿宋_GB2312 黑色 行距: 1.5 倍行距"/>
    <w:basedOn w:val="35"/>
    <w:uiPriority w:val="0"/>
    <w:pPr>
      <w:adjustRightInd/>
      <w:ind w:firstLine="560" w:firstLineChars="200"/>
      <w:textAlignment w:val="auto"/>
    </w:pPr>
    <w:rPr>
      <w:rFonts w:hAnsi="宋体" w:cs="宋体"/>
      <w:color w:val="000000"/>
      <w:kern w:val="2"/>
      <w:sz w:val="24"/>
    </w:rPr>
  </w:style>
  <w:style w:type="paragraph" w:customStyle="1" w:styleId="585">
    <w:name w:val="说明"/>
    <w:basedOn w:val="1"/>
    <w:uiPriority w:val="0"/>
    <w:pPr>
      <w:autoSpaceDE w:val="0"/>
      <w:autoSpaceDN w:val="0"/>
      <w:spacing w:line="440" w:lineRule="exact"/>
      <w:ind w:firstLine="200" w:firstLineChars="200"/>
    </w:pPr>
    <w:rPr>
      <w:rFonts w:ascii="宋体"/>
      <w:b/>
      <w:bCs/>
      <w:i/>
      <w:iCs/>
      <w:color w:val="0000FF"/>
      <w:kern w:val="0"/>
      <w:sz w:val="24"/>
    </w:rPr>
  </w:style>
  <w:style w:type="paragraph" w:customStyle="1" w:styleId="586">
    <w:name w:val="bullet"/>
    <w:basedOn w:val="1"/>
    <w:uiPriority w:val="0"/>
    <w:pPr>
      <w:tabs>
        <w:tab w:val="left" w:pos="840"/>
      </w:tabs>
      <w:adjustRightInd/>
      <w:ind w:left="840" w:hanging="420"/>
    </w:pPr>
  </w:style>
  <w:style w:type="paragraph" w:customStyle="1" w:styleId="587">
    <w:name w:val="Body"/>
    <w:basedOn w:val="1"/>
    <w:uiPriority w:val="0"/>
    <w:pPr>
      <w:widowControl/>
      <w:adjustRightInd/>
      <w:spacing w:before="120" w:beforeLines="0" w:after="120" w:afterLines="0" w:line="240" w:lineRule="exact"/>
      <w:ind w:firstLine="200" w:firstLineChars="200"/>
      <w:jc w:val="left"/>
    </w:pPr>
    <w:rPr>
      <w:rFonts w:ascii="Arial" w:hAnsi="Arial"/>
      <w:kern w:val="0"/>
      <w:sz w:val="20"/>
      <w:szCs w:val="20"/>
      <w:lang w:eastAsia="en-US"/>
    </w:rPr>
  </w:style>
  <w:style w:type="paragraph" w:customStyle="1" w:styleId="588">
    <w:name w:val="模板普通正文"/>
    <w:basedOn w:val="23"/>
    <w:uiPriority w:val="0"/>
    <w:pPr>
      <w:adjustRightInd/>
      <w:spacing w:before="156" w:beforeLines="50" w:after="10" w:afterLines="0" w:line="360" w:lineRule="auto"/>
      <w:ind w:firstLine="175" w:firstLineChars="175"/>
      <w:jc w:val="left"/>
    </w:pPr>
    <w:rPr>
      <w:rFonts w:ascii="Times New Roman" w:hAnsi="Times New Roman"/>
    </w:rPr>
  </w:style>
  <w:style w:type="paragraph" w:customStyle="1" w:styleId="589">
    <w:name w:val="4"/>
    <w:basedOn w:val="1"/>
    <w:next w:val="35"/>
    <w:uiPriority w:val="0"/>
    <w:pPr>
      <w:spacing w:after="120" w:afterLines="0" w:line="480" w:lineRule="auto"/>
      <w:ind w:left="420" w:leftChars="200"/>
    </w:pPr>
    <w:rPr>
      <w:sz w:val="24"/>
      <w:szCs w:val="20"/>
    </w:rPr>
  </w:style>
  <w:style w:type="paragraph" w:customStyle="1" w:styleId="590">
    <w:name w:val="RFI Heading 2nd Level"/>
    <w:basedOn w:val="1"/>
    <w:uiPriority w:val="0"/>
    <w:pPr>
      <w:widowControl/>
      <w:tabs>
        <w:tab w:val="left" w:pos="1260"/>
      </w:tabs>
      <w:adjustRightInd/>
      <w:ind w:firstLineChars="200"/>
      <w:jc w:val="left"/>
    </w:pPr>
    <w:rPr>
      <w:rFonts w:ascii="Arial (W1)" w:hAnsi="Arial (W1)"/>
      <w:b/>
      <w:bCs/>
      <w:color w:val="0000FF"/>
      <w:kern w:val="0"/>
      <w:sz w:val="28"/>
      <w:lang w:val="en-GB" w:eastAsia="en-US"/>
    </w:rPr>
  </w:style>
  <w:style w:type="paragraph" w:customStyle="1" w:styleId="591">
    <w:name w:val="正文首行缩进两字"/>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92">
    <w:name w:val="默认段落样式"/>
    <w:basedOn w:val="254"/>
    <w:qFormat/>
    <w:uiPriority w:val="0"/>
    <w:pPr>
      <w:spacing w:before="0" w:beforeLines="0"/>
      <w:ind w:firstLine="480"/>
      <w:outlineLvl w:val="2"/>
    </w:pPr>
    <w:rPr>
      <w:rFonts w:ascii="仿宋_GB2312" w:hAnsi="宋体" w:eastAsia="仿宋_GB2312"/>
      <w:color w:val="000000"/>
      <w:szCs w:val="24"/>
    </w:rPr>
  </w:style>
  <w:style w:type="paragraph" w:customStyle="1" w:styleId="593">
    <w:name w:val="四号　首行缩进"/>
    <w:basedOn w:val="1"/>
    <w:uiPriority w:val="0"/>
    <w:pPr>
      <w:adjustRightInd/>
      <w:spacing w:line="360" w:lineRule="auto"/>
    </w:pPr>
    <w:rPr>
      <w:rFonts w:ascii="宋体" w:hAnsi="宋体"/>
      <w:szCs w:val="20"/>
    </w:rPr>
  </w:style>
  <w:style w:type="paragraph" w:customStyle="1" w:styleId="594">
    <w:name w:val="Char2"/>
    <w:basedOn w:val="1"/>
    <w:uiPriority w:val="0"/>
    <w:rPr>
      <w:rFonts w:ascii="仿宋_GB2312" w:eastAsia="仿宋_GB2312"/>
      <w:b/>
      <w:sz w:val="32"/>
      <w:szCs w:val="32"/>
    </w:rPr>
  </w:style>
  <w:style w:type="paragraph" w:customStyle="1" w:styleId="595">
    <w:name w:val="reader-word-layer"/>
    <w:basedOn w:val="1"/>
    <w:uiPriority w:val="0"/>
    <w:pPr>
      <w:widowControl/>
      <w:adjustRightInd/>
      <w:spacing w:before="100" w:beforeAutospacing="1" w:after="100" w:afterAutospacing="1"/>
      <w:jc w:val="left"/>
    </w:pPr>
    <w:rPr>
      <w:rFonts w:ascii="宋体" w:hAnsi="宋体" w:cs="宋体"/>
      <w:kern w:val="0"/>
      <w:sz w:val="24"/>
    </w:rPr>
  </w:style>
  <w:style w:type="paragraph" w:customStyle="1" w:styleId="596">
    <w:name w:val="MM Topic 2"/>
    <w:basedOn w:val="3"/>
    <w:uiPriority w:val="0"/>
    <w:pPr>
      <w:numPr>
        <w:ilvl w:val="1"/>
        <w:numId w:val="4"/>
      </w:numPr>
      <w:tabs>
        <w:tab w:val="clear" w:pos="432"/>
      </w:tabs>
    </w:pPr>
    <w:rPr>
      <w:rFonts w:ascii="Arial" w:hAnsi="Arial" w:eastAsia="黑体"/>
      <w:sz w:val="32"/>
      <w:szCs w:val="32"/>
      <w:lang w:val="en-US"/>
    </w:rPr>
  </w:style>
  <w:style w:type="paragraph" w:customStyle="1" w:styleId="597">
    <w:name w:val=" Char Char1 Char Char Char"/>
    <w:basedOn w:val="1"/>
    <w:uiPriority w:val="0"/>
    <w:rPr>
      <w:rFonts w:ascii="仿宋_GB2312" w:eastAsia="仿宋_GB2312"/>
      <w:b/>
      <w:sz w:val="32"/>
      <w:szCs w:val="32"/>
    </w:rPr>
  </w:style>
  <w:style w:type="paragraph" w:customStyle="1" w:styleId="598">
    <w:name w:val="xl42"/>
    <w:basedOn w:val="1"/>
    <w:uiPriority w:val="0"/>
    <w:pPr>
      <w:widowControl/>
      <w:pBdr>
        <w:top w:val="single" w:color="auto" w:sz="4" w:space="0"/>
        <w:left w:val="single" w:color="auto" w:sz="4" w:space="0"/>
        <w:bottom w:val="single" w:color="auto" w:sz="4" w:space="0"/>
      </w:pBdr>
      <w:adjustRightInd/>
      <w:spacing w:before="100" w:beforeLines="0" w:beforeAutospacing="1" w:after="100" w:afterLines="0" w:afterAutospacing="1"/>
      <w:ind w:firstLine="200" w:firstLineChars="200"/>
      <w:jc w:val="center"/>
    </w:pPr>
    <w:rPr>
      <w:rFonts w:ascii="微软雅黑" w:hAnsi="微软雅黑" w:eastAsia="微软雅黑" w:cs="宋体"/>
      <w:b/>
      <w:bCs/>
      <w:kern w:val="0"/>
      <w:szCs w:val="21"/>
    </w:rPr>
  </w:style>
  <w:style w:type="paragraph" w:customStyle="1" w:styleId="599">
    <w:name w:val="彩色列表 - 强调文字颜色 11"/>
    <w:basedOn w:val="1"/>
    <w:qFormat/>
    <w:uiPriority w:val="0"/>
    <w:pPr>
      <w:adjustRightInd/>
      <w:ind w:firstLine="420" w:firstLineChars="200"/>
    </w:pPr>
    <w:rPr>
      <w:rFonts w:ascii="Calibri" w:hAnsi="Calibri"/>
      <w:szCs w:val="22"/>
    </w:rPr>
  </w:style>
  <w:style w:type="paragraph" w:customStyle="1" w:styleId="600">
    <w:name w:val="xl25"/>
    <w:basedOn w:val="1"/>
    <w:uiPriority w:val="0"/>
    <w:pPr>
      <w:widowControl/>
      <w:spacing w:before="100" w:beforeLines="0" w:beforeAutospacing="1" w:after="100" w:afterLines="0" w:afterAutospacing="1"/>
      <w:jc w:val="center"/>
      <w:textAlignment w:val="center"/>
    </w:pPr>
    <w:rPr>
      <w:rFonts w:hint="eastAsia" w:ascii="楷体_GB2312" w:hAnsi="宋体" w:eastAsia="楷体_GB2312"/>
      <w:kern w:val="0"/>
      <w:sz w:val="24"/>
    </w:rPr>
  </w:style>
  <w:style w:type="paragraph" w:customStyle="1" w:styleId="601">
    <w:name w:val="Thf"/>
    <w:basedOn w:val="506"/>
    <w:uiPriority w:val="0"/>
    <w:pPr>
      <w:ind w:left="0"/>
    </w:pPr>
  </w:style>
  <w:style w:type="paragraph" w:customStyle="1" w:styleId="602">
    <w:name w:val="样式 标题 1Level 1 HeadPIM 1Section Headh1l11Heading 0Datash..."/>
    <w:basedOn w:val="2"/>
    <w:uiPriority w:val="0"/>
    <w:pPr>
      <w:keepNext w:val="0"/>
      <w:keepLines w:val="0"/>
      <w:widowControl/>
      <w:numPr>
        <w:ilvl w:val="0"/>
        <w:numId w:val="0"/>
      </w:numPr>
      <w:overflowPunct w:val="0"/>
      <w:autoSpaceDE w:val="0"/>
      <w:autoSpaceDN w:val="0"/>
      <w:spacing w:before="0" w:beforeLines="0" w:after="100" w:afterLines="0" w:line="360" w:lineRule="auto"/>
      <w:jc w:val="left"/>
      <w:textAlignment w:val="baseline"/>
    </w:pPr>
    <w:rPr>
      <w:rFonts w:ascii="宋体" w:hAnsi="宋体"/>
      <w:kern w:val="2"/>
      <w:sz w:val="24"/>
      <w:szCs w:val="20"/>
    </w:rPr>
  </w:style>
  <w:style w:type="paragraph" w:customStyle="1" w:styleId="603">
    <w:name w:val="Char3 Char Char Char Char Char Char"/>
    <w:basedOn w:val="1"/>
    <w:uiPriority w:val="0"/>
    <w:pPr>
      <w:adjustRightInd/>
      <w:spacing w:line="360" w:lineRule="auto"/>
    </w:pPr>
    <w:rPr>
      <w:rFonts w:ascii="Arial" w:hAnsi="Arial" w:eastAsia="黑体" w:cs="Arial"/>
      <w:snapToGrid w:val="0"/>
      <w:kern w:val="0"/>
      <w:szCs w:val="21"/>
    </w:rPr>
  </w:style>
  <w:style w:type="paragraph" w:customStyle="1" w:styleId="604">
    <w:name w:val="正文样式 首行缩进:  0.74 厘米"/>
    <w:basedOn w:val="1"/>
    <w:uiPriority w:val="0"/>
    <w:pPr>
      <w:adjustRightInd/>
      <w:spacing w:before="156" w:beforeLines="50" w:line="360" w:lineRule="auto"/>
      <w:ind w:firstLine="420"/>
    </w:pPr>
    <w:rPr>
      <w:rFonts w:cs="宋体"/>
      <w:sz w:val="24"/>
      <w:szCs w:val="20"/>
    </w:rPr>
  </w:style>
  <w:style w:type="paragraph" w:customStyle="1" w:styleId="605">
    <w:name w:val="正文－恩普"/>
    <w:basedOn w:val="16"/>
    <w:autoRedefine/>
    <w:qFormat/>
    <w:uiPriority w:val="0"/>
    <w:pPr>
      <w:adjustRightInd/>
      <w:snapToGrid/>
      <w:spacing w:before="100" w:beforeLines="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606">
    <w:name w:val="样式 标题 1章节第一层h1H"/>
    <w:basedOn w:val="2"/>
    <w:uiPriority w:val="0"/>
    <w:pPr>
      <w:keepNext w:val="0"/>
      <w:keepLines w:val="0"/>
      <w:numPr>
        <w:ilvl w:val="0"/>
        <w:numId w:val="0"/>
      </w:numPr>
      <w:autoSpaceDE w:val="0"/>
      <w:autoSpaceDN w:val="0"/>
      <w:spacing w:before="0" w:beforeLines="0" w:after="0" w:afterLines="0" w:line="240" w:lineRule="auto"/>
      <w:jc w:val="left"/>
      <w:outlineLvl w:val="9"/>
    </w:pPr>
    <w:rPr>
      <w:kern w:val="0"/>
      <w:sz w:val="52"/>
      <w:szCs w:val="52"/>
      <w:lang w:val="zh-CN"/>
    </w:rPr>
  </w:style>
  <w:style w:type="paragraph" w:customStyle="1" w:styleId="607">
    <w:name w:val="彩色底纹 - 强调文字颜色 11"/>
    <w:uiPriority w:val="0"/>
    <w:rPr>
      <w:rFonts w:ascii="Times New Roman" w:hAnsi="Times New Roman" w:eastAsia="宋体" w:cs="Times New Roman"/>
      <w:kern w:val="2"/>
      <w:sz w:val="21"/>
      <w:szCs w:val="24"/>
      <w:lang w:val="en-US" w:eastAsia="zh-CN" w:bidi="ar-SA"/>
    </w:rPr>
  </w:style>
  <w:style w:type="paragraph" w:customStyle="1" w:styleId="608">
    <w:name w:val="Char21"/>
    <w:basedOn w:val="1"/>
    <w:uiPriority w:val="0"/>
    <w:pPr>
      <w:adjustRightInd/>
      <w:ind w:firstLine="200" w:firstLineChars="200"/>
    </w:pPr>
    <w:rPr>
      <w:rFonts w:ascii="仿宋_GB2312" w:eastAsia="仿宋_GB2312"/>
      <w:b/>
      <w:sz w:val="32"/>
      <w:szCs w:val="32"/>
    </w:rPr>
  </w:style>
  <w:style w:type="paragraph" w:customStyle="1" w:styleId="609">
    <w:name w:val="封面表格文本"/>
    <w:basedOn w:val="1"/>
    <w:uiPriority w:val="0"/>
    <w:pPr>
      <w:autoSpaceDE w:val="0"/>
      <w:autoSpaceDN w:val="0"/>
      <w:ind w:firstLine="200" w:firstLineChars="200"/>
      <w:jc w:val="center"/>
    </w:pPr>
    <w:rPr>
      <w:rFonts w:ascii="Arial" w:hAnsi="Arial"/>
      <w:kern w:val="0"/>
      <w:szCs w:val="21"/>
    </w:rPr>
  </w:style>
  <w:style w:type="paragraph" w:customStyle="1" w:styleId="610">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611">
    <w:name w:val="样式1 + (中宋体"/>
    <w:basedOn w:val="465"/>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612">
    <w:name w:val="正文文字 2"/>
    <w:basedOn w:val="323"/>
    <w:next w:val="323"/>
    <w:autoRedefine/>
    <w:qFormat/>
    <w:uiPriority w:val="0"/>
    <w:rPr>
      <w:rFonts w:ascii="宋体" w:eastAsia="宋体" w:cs="Times New Roman"/>
      <w:color w:val="auto"/>
    </w:rPr>
  </w:style>
  <w:style w:type="paragraph" w:customStyle="1" w:styleId="613">
    <w:name w:val="Char3 Char Char Char"/>
    <w:basedOn w:val="1"/>
    <w:qFormat/>
    <w:uiPriority w:val="0"/>
    <w:pPr>
      <w:widowControl/>
      <w:adjustRightInd/>
      <w:spacing w:after="160" w:line="240" w:lineRule="exact"/>
      <w:jc w:val="left"/>
    </w:pPr>
    <w:rPr>
      <w:szCs w:val="20"/>
    </w:rPr>
  </w:style>
  <w:style w:type="paragraph" w:customStyle="1" w:styleId="614">
    <w:name w:val="font5"/>
    <w:basedOn w:val="1"/>
    <w:uiPriority w:val="0"/>
    <w:pPr>
      <w:widowControl/>
      <w:adjustRightInd/>
      <w:spacing w:before="100" w:beforeLines="0" w:beforeAutospacing="1" w:after="100" w:afterLines="0" w:afterAutospacing="1" w:line="360" w:lineRule="auto"/>
      <w:ind w:firstLine="200" w:firstLineChars="200"/>
      <w:jc w:val="left"/>
    </w:pPr>
    <w:rPr>
      <w:rFonts w:hint="eastAsia" w:ascii="宋体" w:hAnsi="宋体"/>
      <w:kern w:val="0"/>
      <w:sz w:val="18"/>
      <w:szCs w:val="18"/>
    </w:rPr>
  </w:style>
  <w:style w:type="paragraph" w:customStyle="1" w:styleId="615">
    <w:name w:val="目录2"/>
    <w:basedOn w:val="1"/>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616">
    <w:name w:val="样式 标题 1 + 黑色 段前: 0.5 行 段后: 0.5 行1"/>
    <w:basedOn w:val="2"/>
    <w:uiPriority w:val="0"/>
    <w:pPr>
      <w:keepLines w:val="0"/>
      <w:pageBreakBefore/>
      <w:numPr>
        <w:ilvl w:val="0"/>
        <w:numId w:val="0"/>
      </w:numPr>
      <w:pBdr>
        <w:top w:val="single" w:color="auto" w:sz="4" w:space="1"/>
        <w:left w:val="single" w:color="auto" w:sz="4" w:space="4"/>
        <w:bottom w:val="single" w:color="auto" w:sz="4" w:space="1"/>
        <w:right w:val="single" w:color="auto" w:sz="4" w:space="4"/>
      </w:pBdr>
      <w:shd w:val="clear" w:color="auto" w:fill="333399"/>
      <w:adjustRightInd/>
      <w:spacing w:before="0" w:beforeLines="0" w:after="0" w:afterLines="0" w:line="640" w:lineRule="exact"/>
      <w:ind w:left="431" w:hanging="431"/>
      <w:jc w:val="center"/>
    </w:pPr>
    <w:rPr>
      <w:rFonts w:ascii="黑体" w:hAnsi="黑体" w:eastAsia="黑体" w:cs="Arial"/>
      <w:caps/>
      <w:color w:val="FFFFFF"/>
      <w:kern w:val="2"/>
      <w:sz w:val="30"/>
      <w:szCs w:val="20"/>
    </w:rPr>
  </w:style>
  <w:style w:type="paragraph" w:customStyle="1" w:styleId="617">
    <w:name w:val="部分1"/>
    <w:basedOn w:val="1"/>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18">
    <w:name w:val="文章附标题"/>
    <w:basedOn w:val="1"/>
    <w:uiPriority w:val="0"/>
    <w:pPr>
      <w:autoSpaceDE w:val="0"/>
      <w:autoSpaceDN w:val="0"/>
      <w:spacing w:before="187" w:beforeLines="0" w:after="175" w:afterLines="0" w:line="374" w:lineRule="atLeast"/>
      <w:ind w:firstLine="200" w:firstLineChars="200"/>
      <w:jc w:val="center"/>
    </w:pPr>
    <w:rPr>
      <w:color w:val="000000"/>
      <w:kern w:val="0"/>
      <w:sz w:val="36"/>
      <w:szCs w:val="36"/>
    </w:rPr>
  </w:style>
  <w:style w:type="paragraph" w:customStyle="1" w:styleId="619">
    <w:name w:val=" Char1"/>
    <w:basedOn w:val="1"/>
    <w:uiPriority w:val="0"/>
    <w:rPr>
      <w:rFonts w:ascii="仿宋_GB2312" w:eastAsia="仿宋_GB2312"/>
      <w:b/>
      <w:sz w:val="32"/>
      <w:szCs w:val="32"/>
    </w:rPr>
  </w:style>
  <w:style w:type="paragraph" w:customStyle="1" w:styleId="620">
    <w:name w:val="样式3"/>
    <w:basedOn w:val="437"/>
    <w:qFormat/>
    <w:uiPriority w:val="0"/>
    <w:pPr>
      <w:spacing w:before="312" w:beforeLines="100"/>
      <w:jc w:val="left"/>
    </w:pPr>
  </w:style>
  <w:style w:type="paragraph" w:customStyle="1" w:styleId="621">
    <w:name w:val="xl24"/>
    <w:basedOn w:val="1"/>
    <w:uiPriority w:val="0"/>
    <w:pPr>
      <w:widowControl/>
      <w:pBdr>
        <w:top w:val="single" w:color="auto" w:sz="4" w:space="0"/>
        <w:left w:val="single" w:color="auto" w:sz="4" w:space="0"/>
        <w:bottom w:val="single" w:color="auto" w:sz="4" w:space="0"/>
        <w:right w:val="single" w:color="auto" w:sz="4" w:space="0"/>
      </w:pBdr>
      <w:adjustRightInd/>
      <w:spacing w:before="100" w:beforeLines="0" w:beforeAutospacing="1" w:after="100" w:afterLines="0" w:afterAutospacing="1" w:line="360" w:lineRule="auto"/>
      <w:ind w:firstLine="200" w:firstLineChars="200"/>
      <w:jc w:val="left"/>
    </w:pPr>
    <w:rPr>
      <w:rFonts w:ascii="宋体" w:hAnsi="宋体"/>
      <w:kern w:val="0"/>
      <w:sz w:val="20"/>
      <w:szCs w:val="20"/>
    </w:rPr>
  </w:style>
  <w:style w:type="paragraph" w:customStyle="1" w:styleId="622">
    <w:name w:val="font7"/>
    <w:basedOn w:val="1"/>
    <w:uiPriority w:val="0"/>
    <w:pPr>
      <w:widowControl/>
      <w:adjustRightInd/>
      <w:spacing w:before="100" w:beforeLines="0" w:beforeAutospacing="1" w:after="100" w:afterLines="0" w:afterAutospacing="1" w:line="360" w:lineRule="auto"/>
      <w:ind w:firstLine="200" w:firstLineChars="200"/>
      <w:jc w:val="left"/>
    </w:pPr>
    <w:rPr>
      <w:kern w:val="0"/>
      <w:sz w:val="20"/>
      <w:szCs w:val="20"/>
    </w:rPr>
  </w:style>
  <w:style w:type="paragraph" w:customStyle="1" w:styleId="623">
    <w:name w:val="Char Char11 Char Char Char Char Char Char Char Char Char"/>
    <w:basedOn w:val="1"/>
    <w:uiPriority w:val="0"/>
    <w:pPr>
      <w:spacing w:line="360" w:lineRule="auto"/>
    </w:pPr>
    <w:rPr>
      <w:szCs w:val="20"/>
    </w:rPr>
  </w:style>
  <w:style w:type="paragraph" w:customStyle="1" w:styleId="624">
    <w:name w:val="样式 标题 2H2h2Underrubrik1prop2l2Chapter Titlesect 1.2DO NO..."/>
    <w:basedOn w:val="3"/>
    <w:uiPriority w:val="0"/>
    <w:pPr>
      <w:numPr>
        <w:ilvl w:val="0"/>
        <w:numId w:val="0"/>
      </w:numPr>
      <w:spacing w:before="120" w:beforeLines="0" w:after="120" w:afterLines="0"/>
      <w:ind w:left="425" w:hanging="425"/>
    </w:pPr>
    <w:rPr>
      <w:rFonts w:ascii="微软雅黑" w:hAnsi="微软雅黑" w:eastAsia="微软雅黑" w:cs="宋体"/>
      <w:sz w:val="32"/>
      <w:szCs w:val="20"/>
      <w:lang w:val="en-US"/>
    </w:rPr>
  </w:style>
  <w:style w:type="paragraph" w:customStyle="1" w:styleId="625">
    <w:name w:val="Body Copy"/>
    <w:basedOn w:val="1"/>
    <w:uiPriority w:val="0"/>
    <w:pPr>
      <w:widowControl/>
      <w:tabs>
        <w:tab w:val="left" w:pos="1584"/>
        <w:tab w:val="left" w:pos="1613"/>
        <w:tab w:val="left" w:pos="1728"/>
        <w:tab w:val="left" w:pos="1872"/>
        <w:tab w:val="left" w:pos="2016"/>
      </w:tabs>
      <w:adjustRightInd/>
      <w:spacing w:after="180" w:afterLines="0" w:line="240" w:lineRule="exact"/>
      <w:ind w:left="1440" w:right="115" w:firstLine="200" w:firstLineChars="200"/>
      <w:jc w:val="left"/>
    </w:pPr>
    <w:rPr>
      <w:rFonts w:ascii="Aldine401 BT" w:hAnsi="Aldine401 BT"/>
      <w:kern w:val="0"/>
      <w:sz w:val="20"/>
      <w:szCs w:val="20"/>
    </w:rPr>
  </w:style>
  <w:style w:type="paragraph" w:customStyle="1" w:styleId="626">
    <w:name w:val="标准书眉_奇数页"/>
    <w:next w:val="1"/>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27">
    <w:name w:val=" Char Char1"/>
    <w:basedOn w:val="1"/>
    <w:uiPriority w:val="0"/>
    <w:pPr>
      <w:widowControl/>
      <w:spacing w:after="160" w:afterLines="0" w:line="240" w:lineRule="exact"/>
      <w:jc w:val="left"/>
    </w:pPr>
    <w:rPr>
      <w:rFonts w:eastAsia="仿宋_GB2312"/>
      <w:sz w:val="28"/>
    </w:rPr>
  </w:style>
  <w:style w:type="paragraph" w:customStyle="1" w:styleId="628">
    <w:name w:val="金宏发行正文 Char"/>
    <w:basedOn w:val="1"/>
    <w:uiPriority w:val="0"/>
    <w:pPr>
      <w:adjustRightInd/>
      <w:spacing w:line="500" w:lineRule="exact"/>
      <w:ind w:firstLine="560" w:firstLineChars="200"/>
    </w:pPr>
    <w:rPr>
      <w:rFonts w:eastAsia="仿宋_GB2312"/>
      <w:sz w:val="28"/>
      <w:szCs w:val="20"/>
    </w:rPr>
  </w:style>
  <w:style w:type="paragraph" w:customStyle="1" w:styleId="629">
    <w:name w:val="Table Cell"/>
    <w:autoRedefine/>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630">
    <w:name w:val="Char Char11 Char Char Char Char Char Char Char Char Char Char Char"/>
    <w:basedOn w:val="1"/>
    <w:uiPriority w:val="0"/>
    <w:pPr>
      <w:adjustRightInd/>
      <w:spacing w:line="360" w:lineRule="auto"/>
    </w:pPr>
    <w:rPr>
      <w:rFonts w:ascii="Arial" w:hAnsi="Arial" w:eastAsia="黑体" w:cs="Arial"/>
      <w:snapToGrid w:val="0"/>
      <w:kern w:val="0"/>
      <w:szCs w:val="21"/>
    </w:rPr>
  </w:style>
  <w:style w:type="paragraph" w:customStyle="1" w:styleId="631">
    <w:name w:val=" Char Char11 Char Char Char Char Char Char Char Char Char Char Char Char Char"/>
    <w:basedOn w:val="1"/>
    <w:uiPriority w:val="0"/>
    <w:pPr>
      <w:adjustRightInd/>
      <w:spacing w:line="360" w:lineRule="auto"/>
    </w:pPr>
    <w:rPr>
      <w:rFonts w:ascii="Arial" w:hAnsi="Arial" w:eastAsia="黑体"/>
      <w:snapToGrid w:val="0"/>
      <w:kern w:val="0"/>
      <w:sz w:val="20"/>
      <w:szCs w:val="21"/>
    </w:rPr>
  </w:style>
  <w:style w:type="paragraph" w:customStyle="1" w:styleId="632">
    <w:name w:val="图表样式"/>
    <w:basedOn w:val="1"/>
    <w:qFormat/>
    <w:uiPriority w:val="0"/>
    <w:pPr>
      <w:spacing w:line="360" w:lineRule="auto"/>
      <w:contextualSpacing/>
      <w:jc w:val="center"/>
    </w:pPr>
    <w:rPr>
      <w:rFonts w:ascii="仿宋" w:hAnsi="仿宋" w:eastAsia="仿宋"/>
      <w:bCs/>
      <w:sz w:val="24"/>
      <w:szCs w:val="28"/>
    </w:rPr>
  </w:style>
  <w:style w:type="paragraph" w:customStyle="1" w:styleId="633">
    <w:name w:val="[正文行首缩进]"/>
    <w:basedOn w:val="1"/>
    <w:qFormat/>
    <w:uiPriority w:val="0"/>
    <w:pPr>
      <w:spacing w:line="360" w:lineRule="auto"/>
      <w:ind w:firstLine="480" w:firstLineChars="200"/>
      <w:contextualSpacing/>
    </w:pPr>
    <w:rPr>
      <w:sz w:val="24"/>
    </w:rPr>
  </w:style>
  <w:style w:type="character" w:customStyle="1" w:styleId="634">
    <w:name w:val="font131"/>
    <w:basedOn w:val="62"/>
    <w:uiPriority w:val="0"/>
    <w:rPr>
      <w:rFonts w:ascii="微软雅黑" w:hAnsi="微软雅黑" w:eastAsia="微软雅黑" w:cs="微软雅黑"/>
      <w:color w:val="000000"/>
      <w:sz w:val="20"/>
      <w:szCs w:val="20"/>
      <w:u w:val="none"/>
    </w:rPr>
  </w:style>
  <w:style w:type="paragraph" w:customStyle="1" w:styleId="635">
    <w:name w:val="Body Text First Indent 2"/>
    <w:basedOn w:val="636"/>
    <w:qFormat/>
    <w:uiPriority w:val="0"/>
    <w:pPr>
      <w:spacing w:after="120" w:afterLines="0" w:line="240" w:lineRule="auto"/>
      <w:ind w:left="420" w:leftChars="200" w:firstLine="420"/>
    </w:pPr>
    <w:rPr>
      <w:rFonts w:ascii="Times New Roman" w:hAnsi="Times New Roman" w:eastAsia="宋体" w:cs="宋体"/>
      <w:sz w:val="21"/>
      <w:szCs w:val="21"/>
    </w:rPr>
  </w:style>
  <w:style w:type="paragraph" w:customStyle="1" w:styleId="636">
    <w:name w:val="Body Text Indent1"/>
    <w:basedOn w:val="1"/>
    <w:next w:val="1"/>
    <w:qFormat/>
    <w:uiPriority w:val="0"/>
    <w:pPr>
      <w:spacing w:after="120" w:afterLines="0"/>
      <w:ind w:left="420" w:leftChars="200"/>
    </w:pPr>
    <w:rPr>
      <w:color w:val="000000"/>
      <w:sz w:val="21"/>
      <w:szCs w:val="21"/>
    </w:rPr>
  </w:style>
  <w:style w:type="character" w:customStyle="1" w:styleId="637">
    <w:name w:val="font41"/>
    <w:basedOn w:val="62"/>
    <w:qFormat/>
    <w:uiPriority w:val="0"/>
    <w:rPr>
      <w:rFonts w:hint="default" w:ascii="微软雅黑" w:hAnsi="微软雅黑" w:eastAsia="微软雅黑" w:cs="微软雅黑"/>
      <w:color w:val="000000"/>
      <w:sz w:val="18"/>
      <w:szCs w:val="18"/>
      <w:u w:val="none"/>
    </w:rPr>
  </w:style>
  <w:style w:type="character" w:customStyle="1" w:styleId="638">
    <w:name w:val="font51"/>
    <w:basedOn w:val="62"/>
    <w:qFormat/>
    <w:uiPriority w:val="0"/>
    <w:rPr>
      <w:rFonts w:hint="default" w:ascii="微软雅黑" w:hAnsi="微软雅黑" w:eastAsia="微软雅黑" w:cs="微软雅黑"/>
      <w:b/>
      <w:bCs/>
      <w:color w:val="000000"/>
      <w:sz w:val="18"/>
      <w:szCs w:val="18"/>
      <w:u w:val="none"/>
    </w:rPr>
  </w:style>
  <w:style w:type="paragraph" w:customStyle="1" w:styleId="639">
    <w:name w:val="_Style 7"/>
    <w:basedOn w:val="6"/>
    <w:next w:val="58"/>
    <w:unhideWhenUsed/>
    <w:qFormat/>
    <w:uiPriority w:val="0"/>
    <w:pPr>
      <w:ind w:firstLine="420" w:firstLineChars="100"/>
    </w:pPr>
    <w:rPr>
      <w:rFonts w:ascii="Calibri" w:hAnsi="Calibri" w:eastAsia="宋体" w:cs="Times New Roman"/>
    </w:rPr>
  </w:style>
  <w:style w:type="paragraph" w:customStyle="1" w:styleId="640">
    <w:name w:val="列表段落1"/>
    <w:basedOn w:val="1"/>
    <w:qFormat/>
    <w:uiPriority w:val="0"/>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58</Pages>
  <Words>5505</Words>
  <Characters>31380</Characters>
  <Lines>261</Lines>
  <Paragraphs>73</Paragraphs>
  <TotalTime>7</TotalTime>
  <ScaleCrop>false</ScaleCrop>
  <LinksUpToDate>false</LinksUpToDate>
  <CharactersWithSpaces>36812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2019-09-29T08:04:00Z</dcterms:created>
  <dc:creator>kw</dc:creator>
  <cp:lastModifiedBy>HP</cp:lastModifiedBy>
  <cp:lastPrinted>2020-03-13T04:23:00Z</cp:lastPrinted>
  <dcterms:modified xsi:type="dcterms:W3CDTF">2024-04-26T07:05:42Z</dcterms:modified>
  <dc:title>zjhs</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24CCDE93F2964DE5B038C28C7D922752_13</vt:lpwstr>
  </property>
</Properties>
</file>